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DF55F" w14:textId="4316FFE6" w:rsidR="001257F3" w:rsidRPr="001257F3" w:rsidRDefault="001257F3" w:rsidP="00C90071">
      <w:pPr>
        <w:rPr>
          <w:color w:val="FF0000"/>
          <w:sz w:val="20"/>
          <w:szCs w:val="20"/>
          <w:rtl/>
        </w:rPr>
      </w:pPr>
      <w:r w:rsidRPr="001257F3">
        <w:rPr>
          <w:rFonts w:hint="cs"/>
          <w:color w:val="FF0000"/>
          <w:sz w:val="20"/>
          <w:szCs w:val="20"/>
          <w:rtl/>
        </w:rPr>
        <w:t xml:space="preserve">נושא: ספר פניני הלכה </w:t>
      </w:r>
      <w:r w:rsidRPr="001257F3">
        <w:rPr>
          <w:color w:val="FF0000"/>
          <w:sz w:val="20"/>
          <w:szCs w:val="20"/>
          <w:rtl/>
        </w:rPr>
        <w:t>–</w:t>
      </w:r>
      <w:r w:rsidRPr="001257F3">
        <w:rPr>
          <w:rFonts w:hint="cs"/>
          <w:color w:val="FF0000"/>
          <w:sz w:val="20"/>
          <w:szCs w:val="20"/>
          <w:rtl/>
        </w:rPr>
        <w:t xml:space="preserve"> הלכות שבת פרק </w:t>
      </w:r>
      <w:proofErr w:type="spellStart"/>
      <w:r w:rsidRPr="001257F3">
        <w:rPr>
          <w:rFonts w:hint="cs"/>
          <w:color w:val="FF0000"/>
          <w:sz w:val="20"/>
          <w:szCs w:val="20"/>
          <w:rtl/>
        </w:rPr>
        <w:t>טז</w:t>
      </w:r>
      <w:proofErr w:type="spellEnd"/>
      <w:r w:rsidRPr="001257F3">
        <w:rPr>
          <w:rFonts w:hint="cs"/>
          <w:color w:val="FF0000"/>
          <w:sz w:val="20"/>
          <w:szCs w:val="20"/>
          <w:rtl/>
        </w:rPr>
        <w:t xml:space="preserve">, מבעיר ומכבה א </w:t>
      </w:r>
      <w:r w:rsidRPr="001257F3">
        <w:rPr>
          <w:color w:val="FF0000"/>
          <w:sz w:val="20"/>
          <w:szCs w:val="20"/>
          <w:rtl/>
        </w:rPr>
        <w:t>–</w:t>
      </w:r>
      <w:r w:rsidRPr="001257F3">
        <w:rPr>
          <w:rFonts w:hint="cs"/>
          <w:color w:val="FF0000"/>
          <w:sz w:val="20"/>
          <w:szCs w:val="20"/>
          <w:rtl/>
        </w:rPr>
        <w:t xml:space="preserve"> מלאכת הבערה</w:t>
      </w:r>
    </w:p>
    <w:p w14:paraId="6463F537" w14:textId="3D3F1519" w:rsidR="001257F3" w:rsidRPr="001257F3" w:rsidRDefault="001257F3" w:rsidP="00C90071">
      <w:pPr>
        <w:rPr>
          <w:color w:val="FF0000"/>
          <w:sz w:val="20"/>
          <w:szCs w:val="20"/>
          <w:rtl/>
        </w:rPr>
      </w:pPr>
      <w:r w:rsidRPr="001257F3">
        <w:rPr>
          <w:rFonts w:hint="cs"/>
          <w:color w:val="FF0000"/>
          <w:sz w:val="20"/>
          <w:szCs w:val="20"/>
          <w:rtl/>
        </w:rPr>
        <w:t>מחבר: ראובן גורביץ</w:t>
      </w:r>
    </w:p>
    <w:p w14:paraId="38194696" w14:textId="3BDE00E1" w:rsidR="001257F3" w:rsidRPr="001257F3" w:rsidRDefault="001257F3" w:rsidP="00C90071">
      <w:pPr>
        <w:rPr>
          <w:color w:val="FF0000"/>
          <w:sz w:val="20"/>
          <w:szCs w:val="20"/>
          <w:rtl/>
        </w:rPr>
      </w:pPr>
      <w:r w:rsidRPr="001257F3">
        <w:rPr>
          <w:rFonts w:hint="cs"/>
          <w:color w:val="FF0000"/>
          <w:sz w:val="20"/>
          <w:szCs w:val="20"/>
          <w:rtl/>
        </w:rPr>
        <w:t>כיתות יעד:</w:t>
      </w:r>
      <w:r w:rsidRPr="001257F3">
        <w:rPr>
          <w:rFonts w:hint="cs"/>
          <w:color w:val="FF0000"/>
          <w:sz w:val="20"/>
          <w:szCs w:val="20"/>
        </w:rPr>
        <w:t xml:space="preserve"> </w:t>
      </w:r>
      <w:r w:rsidRPr="001257F3">
        <w:rPr>
          <w:rFonts w:hint="cs"/>
          <w:color w:val="FF0000"/>
          <w:sz w:val="20"/>
          <w:szCs w:val="20"/>
          <w:rtl/>
        </w:rPr>
        <w:t>חט"ב</w:t>
      </w:r>
    </w:p>
    <w:p w14:paraId="1221A96D" w14:textId="77777777" w:rsidR="001257F3" w:rsidRDefault="001257F3" w:rsidP="00C90071">
      <w:pPr>
        <w:rPr>
          <w:rtl/>
        </w:rPr>
      </w:pPr>
    </w:p>
    <w:p w14:paraId="4FC229DD" w14:textId="291B29DC" w:rsidR="00C90071" w:rsidRDefault="00C90071" w:rsidP="00C90071">
      <w:pPr>
        <w:rPr>
          <w:rtl/>
        </w:rPr>
      </w:pPr>
      <w:r>
        <w:rPr>
          <w:rFonts w:hint="cs"/>
          <w:rtl/>
        </w:rPr>
        <w:t>בס"ד</w:t>
      </w:r>
      <w:bookmarkStart w:id="0" w:name="_GoBack"/>
      <w:bookmarkEnd w:id="0"/>
    </w:p>
    <w:p w14:paraId="0100A7F8" w14:textId="5C5F8FC6" w:rsidR="00C90071" w:rsidRPr="00C90071" w:rsidRDefault="00C90071" w:rsidP="00C90071">
      <w:pPr>
        <w:jc w:val="center"/>
        <w:rPr>
          <w:rFonts w:cs="Guttman Mantova-Decor"/>
          <w:rtl/>
        </w:rPr>
      </w:pPr>
      <w:r w:rsidRPr="00C90071">
        <w:rPr>
          <w:rFonts w:cs="Guttman Mantova-Decor" w:hint="cs"/>
          <w:rtl/>
        </w:rPr>
        <w:t xml:space="preserve">ספר פניני הלכה </w:t>
      </w:r>
      <w:r w:rsidRPr="00C90071">
        <w:rPr>
          <w:rFonts w:cs="Guttman Mantova-Decor"/>
          <w:rtl/>
        </w:rPr>
        <w:t>–</w:t>
      </w:r>
      <w:r w:rsidRPr="00C90071">
        <w:rPr>
          <w:rFonts w:cs="Guttman Mantova-Decor" w:hint="cs"/>
          <w:rtl/>
        </w:rPr>
        <w:t xml:space="preserve"> הלכות שבת פרק </w:t>
      </w:r>
      <w:proofErr w:type="spellStart"/>
      <w:r w:rsidRPr="00C90071">
        <w:rPr>
          <w:rFonts w:cs="Guttman Mantova-Decor" w:hint="cs"/>
          <w:rtl/>
        </w:rPr>
        <w:t>טז</w:t>
      </w:r>
      <w:proofErr w:type="spellEnd"/>
      <w:r w:rsidRPr="00C90071">
        <w:rPr>
          <w:rFonts w:cs="Guttman Mantova-Decor" w:hint="cs"/>
          <w:rtl/>
        </w:rPr>
        <w:t xml:space="preserve"> </w:t>
      </w:r>
      <w:r w:rsidRPr="00C90071">
        <w:rPr>
          <w:rFonts w:cs="Guttman Mantova-Decor"/>
          <w:rtl/>
        </w:rPr>
        <w:t>–</w:t>
      </w:r>
      <w:r w:rsidRPr="00C90071">
        <w:rPr>
          <w:rFonts w:cs="Guttman Mantova-Decor" w:hint="cs"/>
          <w:rtl/>
        </w:rPr>
        <w:t xml:space="preserve"> מבעיר ומכבה </w:t>
      </w:r>
      <w:r w:rsidRPr="00C90071">
        <w:rPr>
          <w:rFonts w:cs="Guttman Mantova-Decor"/>
          <w:rtl/>
        </w:rPr>
        <w:t>–</w:t>
      </w:r>
      <w:r w:rsidRPr="00C90071">
        <w:rPr>
          <w:rFonts w:cs="Guttman Mantova-Decor" w:hint="cs"/>
          <w:rtl/>
        </w:rPr>
        <w:t xml:space="preserve"> א מלאכת הבערה</w:t>
      </w:r>
    </w:p>
    <w:p w14:paraId="0DFAAEFC" w14:textId="77777777" w:rsidR="00C90071" w:rsidRPr="003C7066" w:rsidRDefault="00C90071" w:rsidP="00C90071">
      <w:pPr>
        <w:rPr>
          <w:sz w:val="20"/>
          <w:szCs w:val="20"/>
          <w:rtl/>
        </w:rPr>
      </w:pPr>
    </w:p>
    <w:p w14:paraId="10571109" w14:textId="0D450D3F" w:rsidR="00C90071" w:rsidRPr="00C90071" w:rsidRDefault="00C90071" w:rsidP="00C90071">
      <w:pPr>
        <w:spacing w:line="276" w:lineRule="auto"/>
        <w:jc w:val="both"/>
        <w:rPr>
          <w:b/>
          <w:bCs/>
        </w:rPr>
      </w:pPr>
      <w:r w:rsidRPr="00C90071">
        <w:rPr>
          <w:rtl/>
        </w:rPr>
        <w:t>נאמר בתורה (</w:t>
      </w:r>
      <w:r>
        <w:rPr>
          <w:rFonts w:hint="cs"/>
          <w:rtl/>
        </w:rPr>
        <w:t xml:space="preserve">יתרו, </w:t>
      </w:r>
      <w:r w:rsidRPr="00C90071">
        <w:rPr>
          <w:rtl/>
        </w:rPr>
        <w:t xml:space="preserve">שמות כ, ט): “וְיוֹם הַשְּׁבִיעִי שַׁבָּת לַה’ אֱלוֹהֶיךָ לֹא תַעֲשֶׂה כָל מְלָאכָה”, וביארו חכמים שכוונת התורה </w:t>
      </w:r>
      <w:r w:rsidRPr="00C90071">
        <w:rPr>
          <w:b/>
          <w:bCs/>
          <w:rtl/>
        </w:rPr>
        <w:t>לאסור בשבת את כל ל”ט סוגי המלאכות שנעשו לצורך הקמת המשכן</w:t>
      </w:r>
      <w:r w:rsidRPr="00C90071">
        <w:rPr>
          <w:rtl/>
        </w:rPr>
        <w:t>. ואף שגם מלאכת הבערת האש בכללן, שכן היו מבעירים אש כדי להכין צבעים לצביעת יריעות המשכן, בכל זאת הזכירה התורה במפורש את מלאכת ההבערה, שנאמר (</w:t>
      </w:r>
      <w:proofErr w:type="spellStart"/>
      <w:r>
        <w:rPr>
          <w:rFonts w:hint="cs"/>
          <w:rtl/>
        </w:rPr>
        <w:t>ויקהל</w:t>
      </w:r>
      <w:proofErr w:type="spellEnd"/>
      <w:r>
        <w:rPr>
          <w:rFonts w:hint="cs"/>
          <w:rtl/>
        </w:rPr>
        <w:t xml:space="preserve">, </w:t>
      </w:r>
      <w:r w:rsidRPr="00C90071">
        <w:rPr>
          <w:rtl/>
        </w:rPr>
        <w:t xml:space="preserve">שמות לה, ג): “לֹא תְבַעֲרוּ אֵשׁ בְּכֹל מֹשְׁבֹתֵיכֶם בְּיוֹם הַשַּׁבָּת”. שאלו חכמים, לשם מה היה צורך להזכיר את מלאכת ההבערה באופן מיוחד. פירש רבי נתן, שרצתה התורה לפרט מלאכה אחת לדוגמא, כדי ללמדנו שאף שכל ל”ט המלאכות שנאסרו בשבת נלמדו מפסוק אחד – “לֹא תַעֲשֶׂה כָל מְלָאכָה”, </w:t>
      </w:r>
      <w:r w:rsidRPr="00C90071">
        <w:rPr>
          <w:b/>
          <w:bCs/>
          <w:rtl/>
        </w:rPr>
        <w:t>מכל מקום כל מלאכה ומלאכה נחשבת לאיסור בפני עצמו</w:t>
      </w:r>
      <w:r w:rsidRPr="00C90071">
        <w:rPr>
          <w:rtl/>
        </w:rPr>
        <w:t xml:space="preserve">, </w:t>
      </w:r>
      <w:r w:rsidRPr="00C90071">
        <w:rPr>
          <w:b/>
          <w:bCs/>
          <w:rtl/>
        </w:rPr>
        <w:t>ולכן העושה כמה מלאכות בשגגה – חייב קרבן חטאת על כל אחת ואחת מהן</w:t>
      </w:r>
      <w:r w:rsidRPr="00C90071">
        <w:rPr>
          <w:b/>
          <w:bCs/>
        </w:rPr>
        <w:t>.</w:t>
      </w:r>
    </w:p>
    <w:p w14:paraId="77354A3A" w14:textId="77777777" w:rsidR="00C90071" w:rsidRPr="00C90071" w:rsidRDefault="00C90071" w:rsidP="00C90071">
      <w:pPr>
        <w:spacing w:line="276" w:lineRule="auto"/>
        <w:jc w:val="both"/>
      </w:pPr>
      <w:r w:rsidRPr="00C90071">
        <w:rPr>
          <w:u w:val="single"/>
          <w:rtl/>
        </w:rPr>
        <w:t>על ידי העוצמה האדירה שבאש יכול האדם לשלוט בכוחות הטבע ולרתום אותם לשרותו</w:t>
      </w:r>
      <w:r w:rsidRPr="00C90071">
        <w:rPr>
          <w:rtl/>
        </w:rPr>
        <w:t xml:space="preserve">. על ידי האש יצר האדם כלי ברזל, שיפר את מזונו, ובהמשך יצר מכונות בעלות עוצמה. </w:t>
      </w:r>
      <w:r w:rsidRPr="00C90071">
        <w:rPr>
          <w:u w:val="single"/>
          <w:rtl/>
        </w:rPr>
        <w:t>לכן אולי נבחרה מלאכת ההבערה מכל המלאכות כדוגמא המבטאת את יכולתו העצומה של האדם לפעול לשכלול העולם. אולם בשבת צריך כל יהודי לנוח ולהתעלות מעל לכל הפעולות העוסקות ביצירה, ולזכור את הבורא שהוציאנו ממצרים, ולהתענג על השבת בלימוד התורה ובסעודות</w:t>
      </w:r>
      <w:r w:rsidRPr="00C90071">
        <w:t>.</w:t>
      </w:r>
    </w:p>
    <w:p w14:paraId="526D899B" w14:textId="0CB43ABC" w:rsidR="00C90071" w:rsidRDefault="00C90071" w:rsidP="00C90071">
      <w:pPr>
        <w:spacing w:line="276" w:lineRule="auto"/>
        <w:jc w:val="both"/>
        <w:rPr>
          <w:rtl/>
        </w:rPr>
      </w:pPr>
      <w:r w:rsidRPr="00C90071">
        <w:rPr>
          <w:rtl/>
        </w:rPr>
        <w:t xml:space="preserve">לכאורה יש לשאול על עצם מלאכת ההבערה, הרי יש בידינו כלל: </w:t>
      </w:r>
      <w:r w:rsidRPr="00C90071">
        <w:rPr>
          <w:b/>
          <w:bCs/>
          <w:rtl/>
        </w:rPr>
        <w:t xml:space="preserve">“כל </w:t>
      </w:r>
      <w:proofErr w:type="spellStart"/>
      <w:r w:rsidRPr="00C90071">
        <w:rPr>
          <w:b/>
          <w:bCs/>
          <w:rtl/>
        </w:rPr>
        <w:t>המקלקלין</w:t>
      </w:r>
      <w:proofErr w:type="spellEnd"/>
      <w:r w:rsidRPr="00C90071">
        <w:rPr>
          <w:b/>
          <w:bCs/>
          <w:rtl/>
        </w:rPr>
        <w:t xml:space="preserve"> </w:t>
      </w:r>
      <w:proofErr w:type="spellStart"/>
      <w:r w:rsidRPr="00C90071">
        <w:rPr>
          <w:b/>
          <w:bCs/>
          <w:rtl/>
        </w:rPr>
        <w:t>פטורין</w:t>
      </w:r>
      <w:proofErr w:type="spellEnd"/>
      <w:r w:rsidRPr="00C90071">
        <w:rPr>
          <w:b/>
          <w:bCs/>
          <w:rtl/>
        </w:rPr>
        <w:t>”</w:t>
      </w:r>
      <w:r w:rsidRPr="00C90071">
        <w:rPr>
          <w:rtl/>
        </w:rPr>
        <w:t xml:space="preserve"> (שבת </w:t>
      </w:r>
      <w:proofErr w:type="spellStart"/>
      <w:r w:rsidRPr="00C90071">
        <w:rPr>
          <w:rtl/>
        </w:rPr>
        <w:t>קה</w:t>
      </w:r>
      <w:proofErr w:type="spellEnd"/>
      <w:r w:rsidRPr="00C90071">
        <w:rPr>
          <w:rtl/>
        </w:rPr>
        <w:t xml:space="preserve">, ב), ולכן </w:t>
      </w:r>
      <w:r w:rsidRPr="00C90071">
        <w:rPr>
          <w:b/>
          <w:bCs/>
          <w:rtl/>
        </w:rPr>
        <w:t>אדם שקרע בגד או שבר כלי בשגגה – פטור מקרבן חטאת</w:t>
      </w:r>
      <w:r w:rsidRPr="00C90071">
        <w:rPr>
          <w:rtl/>
        </w:rPr>
        <w:t xml:space="preserve">. ואמנם </w:t>
      </w:r>
      <w:r w:rsidRPr="00C90071">
        <w:rPr>
          <w:b/>
          <w:bCs/>
          <w:rtl/>
        </w:rPr>
        <w:t>המקלקל עובר באיסור מדברי חכמים</w:t>
      </w:r>
      <w:r w:rsidRPr="00C90071">
        <w:rPr>
          <w:rtl/>
        </w:rPr>
        <w:t xml:space="preserve">, אבל מהתורה אין בזה איסור, ואם כן מדוע מבעיר אש בשבת עובר באיסור תורה, הרי בכל שריפה – חומר הבעירה מתקלקל. </w:t>
      </w:r>
      <w:r w:rsidRPr="00C90071">
        <w:rPr>
          <w:b/>
          <w:bCs/>
          <w:rtl/>
        </w:rPr>
        <w:t>אלא שכל זמן שהרווח שנוצר על ידי האש בחימום הבית ובהדלקת הנר וכיוצא בזה חשוב יותר מן האובדן של חומר הבעירה, הרי זו מלאכה יוצרת ולא מקלקלת</w:t>
      </w:r>
      <w:r>
        <w:rPr>
          <w:rFonts w:hint="cs"/>
          <w:rtl/>
        </w:rPr>
        <w:t>.</w:t>
      </w:r>
    </w:p>
    <w:p w14:paraId="529BFDFC" w14:textId="77777777" w:rsidR="00C90071" w:rsidRDefault="00C90071" w:rsidP="00C90071">
      <w:pPr>
        <w:spacing w:line="276" w:lineRule="auto"/>
        <w:jc w:val="both"/>
        <w:rPr>
          <w:rtl/>
        </w:rPr>
      </w:pPr>
    </w:p>
    <w:p w14:paraId="4A42E7CC" w14:textId="37AF4376" w:rsidR="00C90071" w:rsidRDefault="00C90071" w:rsidP="00C90071">
      <w:pPr>
        <w:spacing w:line="276" w:lineRule="auto"/>
        <w:jc w:val="both"/>
        <w:rPr>
          <w:rtl/>
        </w:rPr>
      </w:pPr>
      <w:r>
        <w:rPr>
          <w:rFonts w:hint="cs"/>
          <w:rtl/>
        </w:rPr>
        <w:t>1. א. איזה סוג מלאכות נאסרו בשבת?</w:t>
      </w:r>
      <w:r w:rsidR="003C7066">
        <w:rPr>
          <w:rFonts w:hint="cs"/>
          <w:rtl/>
        </w:rPr>
        <w:t xml:space="preserve"> </w:t>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Pr>
          <w:rFonts w:hint="cs"/>
          <w:rtl/>
        </w:rPr>
        <w:t xml:space="preserve"> </w:t>
      </w:r>
    </w:p>
    <w:p w14:paraId="2C203641" w14:textId="73FD4FD1" w:rsidR="00C90071" w:rsidRPr="003C7066" w:rsidRDefault="00C90071" w:rsidP="00C90071">
      <w:pPr>
        <w:spacing w:line="276" w:lineRule="auto"/>
        <w:jc w:val="both"/>
        <w:rPr>
          <w:u w:val="single"/>
          <w:rtl/>
        </w:rPr>
      </w:pPr>
      <w:r>
        <w:rPr>
          <w:rFonts w:hint="cs"/>
          <w:rtl/>
        </w:rPr>
        <w:t xml:space="preserve">    ב. מהיכן לומדים שהם אסורות?</w:t>
      </w:r>
      <w:r w:rsidR="003C7066">
        <w:rPr>
          <w:rFonts w:hint="cs"/>
          <w:rtl/>
        </w:rPr>
        <w:t xml:space="preserve"> </w:t>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p>
    <w:p w14:paraId="3F0D5FD7" w14:textId="77777777" w:rsidR="00C90071" w:rsidRPr="003C7066" w:rsidRDefault="00C90071" w:rsidP="00C90071">
      <w:pPr>
        <w:spacing w:line="276" w:lineRule="auto"/>
        <w:jc w:val="both"/>
        <w:rPr>
          <w:sz w:val="20"/>
          <w:szCs w:val="20"/>
          <w:rtl/>
        </w:rPr>
      </w:pPr>
    </w:p>
    <w:p w14:paraId="6E25E929" w14:textId="470F3833" w:rsidR="00C90071" w:rsidRDefault="00C90071" w:rsidP="00C90071">
      <w:pPr>
        <w:spacing w:line="276" w:lineRule="auto"/>
        <w:jc w:val="both"/>
        <w:rPr>
          <w:rtl/>
        </w:rPr>
      </w:pPr>
      <w:r>
        <w:rPr>
          <w:rFonts w:hint="cs"/>
          <w:rtl/>
        </w:rPr>
        <w:t xml:space="preserve">2. </w:t>
      </w:r>
      <w:r w:rsidR="0094305A">
        <w:rPr>
          <w:rFonts w:hint="cs"/>
          <w:rtl/>
        </w:rPr>
        <w:t xml:space="preserve">א. מה הקושי מהציווי "לא תבערו אש בכל </w:t>
      </w:r>
      <w:proofErr w:type="spellStart"/>
      <w:r w:rsidR="0094305A">
        <w:rPr>
          <w:rFonts w:hint="cs"/>
          <w:rtl/>
        </w:rPr>
        <w:t>משבותיכם</w:t>
      </w:r>
      <w:proofErr w:type="spellEnd"/>
      <w:r w:rsidR="0094305A">
        <w:rPr>
          <w:rFonts w:hint="cs"/>
          <w:rtl/>
        </w:rPr>
        <w:t>" לתשובה שנתת לשאלה הקודמת?</w:t>
      </w:r>
    </w:p>
    <w:p w14:paraId="13CCFD54" w14:textId="16633D6D" w:rsidR="003C7066" w:rsidRPr="003C7066" w:rsidRDefault="003C7066" w:rsidP="00C90071">
      <w:pPr>
        <w:spacing w:line="276" w:lineRule="auto"/>
        <w:jc w:val="both"/>
        <w:rPr>
          <w:u w:val="single"/>
          <w:rtl/>
        </w:rPr>
      </w:pP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p>
    <w:p w14:paraId="4BB9A3C0" w14:textId="2EB31252" w:rsidR="0094305A" w:rsidRDefault="0094305A" w:rsidP="00C90071">
      <w:pPr>
        <w:spacing w:line="276" w:lineRule="auto"/>
        <w:jc w:val="both"/>
        <w:rPr>
          <w:rtl/>
        </w:rPr>
      </w:pPr>
      <w:r>
        <w:rPr>
          <w:rFonts w:hint="cs"/>
          <w:rtl/>
        </w:rPr>
        <w:t xml:space="preserve">    ב. כיצד רבי נתן תירץ קושי זה?</w:t>
      </w:r>
    </w:p>
    <w:p w14:paraId="2304C51D" w14:textId="77777777" w:rsidR="003C7066" w:rsidRPr="003C7066" w:rsidRDefault="003C7066" w:rsidP="003C7066">
      <w:pPr>
        <w:spacing w:line="276" w:lineRule="auto"/>
        <w:jc w:val="both"/>
        <w:rPr>
          <w:u w:val="single"/>
          <w:rtl/>
        </w:rPr>
      </w:pP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p>
    <w:p w14:paraId="7B1F6DDF" w14:textId="77777777" w:rsidR="0094305A" w:rsidRPr="003C7066" w:rsidRDefault="0094305A" w:rsidP="00C90071">
      <w:pPr>
        <w:spacing w:line="276" w:lineRule="auto"/>
        <w:jc w:val="both"/>
        <w:rPr>
          <w:sz w:val="20"/>
          <w:szCs w:val="20"/>
          <w:rtl/>
        </w:rPr>
      </w:pPr>
    </w:p>
    <w:p w14:paraId="1260D37D" w14:textId="67FDEFD8" w:rsidR="0094305A" w:rsidRPr="003C7066" w:rsidRDefault="0094305A" w:rsidP="00C90071">
      <w:pPr>
        <w:spacing w:line="276" w:lineRule="auto"/>
        <w:jc w:val="both"/>
        <w:rPr>
          <w:u w:val="single"/>
          <w:rtl/>
        </w:rPr>
      </w:pPr>
      <w:r>
        <w:rPr>
          <w:rFonts w:hint="cs"/>
          <w:rtl/>
        </w:rPr>
        <w:t>3. א. מהו המאפיין שיש באש?</w:t>
      </w:r>
      <w:r w:rsidR="003C7066">
        <w:rPr>
          <w:rFonts w:hint="cs"/>
          <w:rtl/>
        </w:rPr>
        <w:t xml:space="preserve"> </w:t>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r w:rsidR="003C7066">
        <w:rPr>
          <w:u w:val="single"/>
          <w:rtl/>
        </w:rPr>
        <w:tab/>
      </w:r>
    </w:p>
    <w:p w14:paraId="28C8935A" w14:textId="4AEE77D7" w:rsidR="0094305A" w:rsidRDefault="0094305A" w:rsidP="00C90071">
      <w:pPr>
        <w:spacing w:line="276" w:lineRule="auto"/>
        <w:jc w:val="both"/>
        <w:rPr>
          <w:rtl/>
        </w:rPr>
      </w:pPr>
      <w:r>
        <w:rPr>
          <w:rFonts w:hint="cs"/>
          <w:rtl/>
        </w:rPr>
        <w:t xml:space="preserve">    ב. לפי מה שכתבת בחלק א, מדוע בחרה התורה דווקא במלאכה זו בשביל ללמד אותנו את החידוש של רבי </w:t>
      </w:r>
      <w:r w:rsidR="003C7066">
        <w:rPr>
          <w:rtl/>
        </w:rPr>
        <w:br/>
      </w:r>
      <w:r w:rsidR="003C7066">
        <w:rPr>
          <w:rFonts w:hint="cs"/>
          <w:rtl/>
        </w:rPr>
        <w:t xml:space="preserve">         </w:t>
      </w:r>
      <w:r>
        <w:rPr>
          <w:rFonts w:hint="cs"/>
          <w:rtl/>
        </w:rPr>
        <w:t>נתן שכתבת בשאלה הקודמת?</w:t>
      </w:r>
    </w:p>
    <w:p w14:paraId="13E71F2B" w14:textId="77777777" w:rsidR="003C7066" w:rsidRPr="003C7066" w:rsidRDefault="003C7066" w:rsidP="003C7066">
      <w:pPr>
        <w:spacing w:line="276" w:lineRule="auto"/>
        <w:jc w:val="both"/>
        <w:rPr>
          <w:u w:val="single"/>
          <w:rtl/>
        </w:rPr>
      </w:pP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p>
    <w:p w14:paraId="539BB37A" w14:textId="77777777" w:rsidR="0094305A" w:rsidRPr="003C7066" w:rsidRDefault="0094305A" w:rsidP="00C90071">
      <w:pPr>
        <w:spacing w:line="276" w:lineRule="auto"/>
        <w:jc w:val="both"/>
        <w:rPr>
          <w:sz w:val="20"/>
          <w:szCs w:val="20"/>
          <w:rtl/>
        </w:rPr>
      </w:pPr>
    </w:p>
    <w:p w14:paraId="3DA62F99" w14:textId="664AB81F" w:rsidR="0094305A" w:rsidRDefault="0094305A" w:rsidP="00C90071">
      <w:pPr>
        <w:spacing w:line="276" w:lineRule="auto"/>
        <w:jc w:val="both"/>
        <w:rPr>
          <w:rtl/>
        </w:rPr>
      </w:pPr>
      <w:r>
        <w:rPr>
          <w:rFonts w:hint="cs"/>
          <w:rtl/>
        </w:rPr>
        <w:t xml:space="preserve">4. </w:t>
      </w:r>
      <w:r w:rsidR="003C7066">
        <w:rPr>
          <w:rFonts w:hint="cs"/>
          <w:rtl/>
        </w:rPr>
        <w:t xml:space="preserve">א. מה פירוש הכלל שבהלכות שבת "כל </w:t>
      </w:r>
      <w:proofErr w:type="spellStart"/>
      <w:r w:rsidR="003C7066">
        <w:rPr>
          <w:rFonts w:hint="cs"/>
          <w:rtl/>
        </w:rPr>
        <w:t>המקלקלין</w:t>
      </w:r>
      <w:proofErr w:type="spellEnd"/>
      <w:r w:rsidR="003C7066">
        <w:rPr>
          <w:rFonts w:hint="cs"/>
          <w:rtl/>
        </w:rPr>
        <w:t xml:space="preserve"> פטורים"?</w:t>
      </w:r>
    </w:p>
    <w:p w14:paraId="2AA231E1" w14:textId="77777777" w:rsidR="003C7066" w:rsidRPr="003C7066" w:rsidRDefault="003C7066" w:rsidP="003C7066">
      <w:pPr>
        <w:spacing w:line="276" w:lineRule="auto"/>
        <w:jc w:val="both"/>
        <w:rPr>
          <w:u w:val="single"/>
          <w:rtl/>
        </w:rPr>
      </w:pP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p>
    <w:p w14:paraId="2B6A5DEE" w14:textId="77777777" w:rsidR="003C7066" w:rsidRPr="00C90071" w:rsidRDefault="003C7066" w:rsidP="00C90071">
      <w:pPr>
        <w:spacing w:line="276" w:lineRule="auto"/>
        <w:jc w:val="both"/>
        <w:rPr>
          <w:sz w:val="20"/>
          <w:szCs w:val="20"/>
          <w:rtl/>
        </w:rPr>
      </w:pPr>
    </w:p>
    <w:p w14:paraId="1CA27DFD" w14:textId="5E89FA83" w:rsidR="00175B02" w:rsidRPr="003C7066" w:rsidRDefault="003C7066">
      <w:pPr>
        <w:rPr>
          <w:u w:val="single"/>
          <w:rtl/>
        </w:rPr>
      </w:pPr>
      <w:r>
        <w:rPr>
          <w:rFonts w:hint="cs"/>
          <w:rtl/>
        </w:rPr>
        <w:t xml:space="preserve">    ב. מה הקושי מהכלל הזה על מלאכת הבערה?</w:t>
      </w:r>
      <w:r>
        <w:rPr>
          <w:rFonts w:hint="cs"/>
          <w:u w:val="single"/>
          <w:rtl/>
        </w:rPr>
        <w:t xml:space="preserve"> </w:t>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p>
    <w:p w14:paraId="66F143E4" w14:textId="77777777" w:rsidR="003C7066" w:rsidRPr="003C7066" w:rsidRDefault="003C7066" w:rsidP="003C7066">
      <w:pPr>
        <w:spacing w:line="276" w:lineRule="auto"/>
        <w:jc w:val="both"/>
        <w:rPr>
          <w:u w:val="single"/>
          <w:rtl/>
        </w:rPr>
      </w:pPr>
      <w:r>
        <w:rPr>
          <w:rFonts w:hint="cs"/>
          <w:rtl/>
        </w:rPr>
        <w:t xml:space="preserve">  </w:t>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p>
    <w:p w14:paraId="67273A37" w14:textId="50C681F4" w:rsidR="003C7066" w:rsidRPr="003C7066" w:rsidRDefault="003C7066" w:rsidP="003C7066">
      <w:pPr>
        <w:spacing w:line="276" w:lineRule="auto"/>
        <w:jc w:val="both"/>
        <w:rPr>
          <w:sz w:val="20"/>
          <w:szCs w:val="20"/>
          <w:rtl/>
        </w:rPr>
      </w:pPr>
    </w:p>
    <w:p w14:paraId="5DADDDD1" w14:textId="6E5C549F" w:rsidR="003C7066" w:rsidRDefault="003C7066">
      <w:pPr>
        <w:rPr>
          <w:rtl/>
        </w:rPr>
      </w:pPr>
      <w:r>
        <w:rPr>
          <w:rFonts w:hint="cs"/>
          <w:rtl/>
        </w:rPr>
        <w:t xml:space="preserve">  ג. מה התירוץ לקושי זה?</w:t>
      </w:r>
    </w:p>
    <w:p w14:paraId="08EFB58F" w14:textId="77777777" w:rsidR="003C7066" w:rsidRPr="003C7066" w:rsidRDefault="003C7066" w:rsidP="003C7066">
      <w:pPr>
        <w:spacing w:line="276" w:lineRule="auto"/>
        <w:jc w:val="both"/>
        <w:rPr>
          <w:u w:val="single"/>
          <w:rtl/>
        </w:rPr>
      </w:pPr>
      <w:r>
        <w:rPr>
          <w:u w:val="single"/>
          <w:rtl/>
        </w:rPr>
        <w:lastRenderedPageBreak/>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r>
        <w:rPr>
          <w:u w:val="single"/>
          <w:rtl/>
        </w:rPr>
        <w:tab/>
      </w:r>
    </w:p>
    <w:p w14:paraId="0D622345" w14:textId="77777777" w:rsidR="003C7066" w:rsidRDefault="003C7066"/>
    <w:sectPr w:rsidR="003C7066" w:rsidSect="00973956">
      <w:pgSz w:w="11906" w:h="16838"/>
      <w:pgMar w:top="567" w:right="567" w:bottom="567" w:left="56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ttman Mantova-Decor">
    <w:panose1 w:val="02010401010101010101"/>
    <w:charset w:val="B1"/>
    <w:family w:val="auto"/>
    <w:pitch w:val="variable"/>
    <w:sig w:usb0="00000801" w:usb1="40000000" w:usb2="00000000" w:usb3="00000000" w:csb0="0000002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5"/>
  <w:doNotDisplayPageBoundaries/>
  <w:proofState w:spelling="clean" w:grammar="clean"/>
  <w:defaultTabStop w:val="284"/>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071"/>
    <w:rsid w:val="001052E8"/>
    <w:rsid w:val="001257F3"/>
    <w:rsid w:val="00175B02"/>
    <w:rsid w:val="003C7066"/>
    <w:rsid w:val="0063470A"/>
    <w:rsid w:val="00932138"/>
    <w:rsid w:val="0094305A"/>
    <w:rsid w:val="00973956"/>
    <w:rsid w:val="009B1797"/>
    <w:rsid w:val="00AB2CBD"/>
    <w:rsid w:val="00B6432B"/>
    <w:rsid w:val="00C820E7"/>
    <w:rsid w:val="00C90071"/>
    <w:rsid w:val="00D07F55"/>
    <w:rsid w:val="00DC510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FA9E1"/>
  <w15:chartTrackingRefBased/>
  <w15:docId w15:val="{989AF1A3-7AF9-4641-AB8E-B00E7E574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David"/>
        <w:kern w:val="2"/>
        <w:sz w:val="28"/>
        <w:szCs w:val="28"/>
        <w:lang w:val="en-US" w:eastAsia="en-US" w:bidi="he-IL"/>
        <w14:ligatures w14:val="standardContextual"/>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CBD"/>
  </w:style>
  <w:style w:type="paragraph" w:styleId="1">
    <w:name w:val="heading 1"/>
    <w:basedOn w:val="a"/>
    <w:next w:val="a"/>
    <w:link w:val="10"/>
    <w:uiPriority w:val="9"/>
    <w:qFormat/>
    <w:rsid w:val="00C900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900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90071"/>
    <w:pPr>
      <w:keepNext/>
      <w:keepLines/>
      <w:spacing w:before="160" w:after="80"/>
      <w:outlineLvl w:val="2"/>
    </w:pPr>
    <w:rPr>
      <w:rFonts w:eastAsiaTheme="majorEastAsia" w:cstheme="majorBidi"/>
      <w:color w:val="2F5496" w:themeColor="accent1" w:themeShade="BF"/>
    </w:rPr>
  </w:style>
  <w:style w:type="paragraph" w:styleId="4">
    <w:name w:val="heading 4"/>
    <w:basedOn w:val="a"/>
    <w:next w:val="a"/>
    <w:link w:val="40"/>
    <w:uiPriority w:val="9"/>
    <w:semiHidden/>
    <w:unhideWhenUsed/>
    <w:qFormat/>
    <w:rsid w:val="00C9007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9007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9007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9007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9007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9007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C90071"/>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C90071"/>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C90071"/>
    <w:rPr>
      <w:rFonts w:eastAsiaTheme="majorEastAsia" w:cstheme="majorBidi"/>
      <w:color w:val="2F5496" w:themeColor="accent1" w:themeShade="BF"/>
    </w:rPr>
  </w:style>
  <w:style w:type="character" w:customStyle="1" w:styleId="40">
    <w:name w:val="כותרת 4 תו"/>
    <w:basedOn w:val="a0"/>
    <w:link w:val="4"/>
    <w:uiPriority w:val="9"/>
    <w:semiHidden/>
    <w:rsid w:val="00C90071"/>
    <w:rPr>
      <w:rFonts w:eastAsiaTheme="majorEastAsia" w:cstheme="majorBidi"/>
      <w:i/>
      <w:iCs/>
      <w:color w:val="2F5496" w:themeColor="accent1" w:themeShade="BF"/>
    </w:rPr>
  </w:style>
  <w:style w:type="character" w:customStyle="1" w:styleId="50">
    <w:name w:val="כותרת 5 תו"/>
    <w:basedOn w:val="a0"/>
    <w:link w:val="5"/>
    <w:uiPriority w:val="9"/>
    <w:semiHidden/>
    <w:rsid w:val="00C90071"/>
    <w:rPr>
      <w:rFonts w:eastAsiaTheme="majorEastAsia" w:cstheme="majorBidi"/>
      <w:color w:val="2F5496" w:themeColor="accent1" w:themeShade="BF"/>
    </w:rPr>
  </w:style>
  <w:style w:type="character" w:customStyle="1" w:styleId="60">
    <w:name w:val="כותרת 6 תו"/>
    <w:basedOn w:val="a0"/>
    <w:link w:val="6"/>
    <w:uiPriority w:val="9"/>
    <w:semiHidden/>
    <w:rsid w:val="00C90071"/>
    <w:rPr>
      <w:rFonts w:eastAsiaTheme="majorEastAsia" w:cstheme="majorBidi"/>
      <w:i/>
      <w:iCs/>
      <w:color w:val="595959" w:themeColor="text1" w:themeTint="A6"/>
    </w:rPr>
  </w:style>
  <w:style w:type="character" w:customStyle="1" w:styleId="70">
    <w:name w:val="כותרת 7 תו"/>
    <w:basedOn w:val="a0"/>
    <w:link w:val="7"/>
    <w:uiPriority w:val="9"/>
    <w:semiHidden/>
    <w:rsid w:val="00C90071"/>
    <w:rPr>
      <w:rFonts w:eastAsiaTheme="majorEastAsia" w:cstheme="majorBidi"/>
      <w:color w:val="595959" w:themeColor="text1" w:themeTint="A6"/>
    </w:rPr>
  </w:style>
  <w:style w:type="character" w:customStyle="1" w:styleId="80">
    <w:name w:val="כותרת 8 תו"/>
    <w:basedOn w:val="a0"/>
    <w:link w:val="8"/>
    <w:uiPriority w:val="9"/>
    <w:semiHidden/>
    <w:rsid w:val="00C90071"/>
    <w:rPr>
      <w:rFonts w:eastAsiaTheme="majorEastAsia" w:cstheme="majorBidi"/>
      <w:i/>
      <w:iCs/>
      <w:color w:val="272727" w:themeColor="text1" w:themeTint="D8"/>
    </w:rPr>
  </w:style>
  <w:style w:type="character" w:customStyle="1" w:styleId="90">
    <w:name w:val="כותרת 9 תו"/>
    <w:basedOn w:val="a0"/>
    <w:link w:val="9"/>
    <w:uiPriority w:val="9"/>
    <w:semiHidden/>
    <w:rsid w:val="00C90071"/>
    <w:rPr>
      <w:rFonts w:eastAsiaTheme="majorEastAsia" w:cstheme="majorBidi"/>
      <w:color w:val="272727" w:themeColor="text1" w:themeTint="D8"/>
    </w:rPr>
  </w:style>
  <w:style w:type="paragraph" w:styleId="a3">
    <w:name w:val="Title"/>
    <w:basedOn w:val="a"/>
    <w:next w:val="a"/>
    <w:link w:val="a4"/>
    <w:uiPriority w:val="10"/>
    <w:qFormat/>
    <w:rsid w:val="00C90071"/>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C900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0071"/>
    <w:pPr>
      <w:numPr>
        <w:ilvl w:val="1"/>
      </w:numPr>
      <w:spacing w:after="160"/>
    </w:pPr>
    <w:rPr>
      <w:rFonts w:eastAsiaTheme="majorEastAsia" w:cstheme="majorBidi"/>
      <w:color w:val="595959" w:themeColor="text1" w:themeTint="A6"/>
      <w:spacing w:val="15"/>
    </w:rPr>
  </w:style>
  <w:style w:type="character" w:customStyle="1" w:styleId="a6">
    <w:name w:val="כותרת משנה תו"/>
    <w:basedOn w:val="a0"/>
    <w:link w:val="a5"/>
    <w:uiPriority w:val="11"/>
    <w:rsid w:val="00C90071"/>
    <w:rPr>
      <w:rFonts w:eastAsiaTheme="majorEastAsia" w:cstheme="majorBidi"/>
      <w:color w:val="595959" w:themeColor="text1" w:themeTint="A6"/>
      <w:spacing w:val="15"/>
    </w:rPr>
  </w:style>
  <w:style w:type="paragraph" w:styleId="a7">
    <w:name w:val="Quote"/>
    <w:basedOn w:val="a"/>
    <w:next w:val="a"/>
    <w:link w:val="a8"/>
    <w:uiPriority w:val="29"/>
    <w:qFormat/>
    <w:rsid w:val="00C90071"/>
    <w:pPr>
      <w:spacing w:before="160" w:after="160"/>
      <w:jc w:val="center"/>
    </w:pPr>
    <w:rPr>
      <w:i/>
      <w:iCs/>
      <w:color w:val="404040" w:themeColor="text1" w:themeTint="BF"/>
    </w:rPr>
  </w:style>
  <w:style w:type="character" w:customStyle="1" w:styleId="a8">
    <w:name w:val="ציטוט תו"/>
    <w:basedOn w:val="a0"/>
    <w:link w:val="a7"/>
    <w:uiPriority w:val="29"/>
    <w:rsid w:val="00C90071"/>
    <w:rPr>
      <w:i/>
      <w:iCs/>
      <w:color w:val="404040" w:themeColor="text1" w:themeTint="BF"/>
    </w:rPr>
  </w:style>
  <w:style w:type="paragraph" w:styleId="a9">
    <w:name w:val="List Paragraph"/>
    <w:basedOn w:val="a"/>
    <w:uiPriority w:val="34"/>
    <w:qFormat/>
    <w:rsid w:val="00C90071"/>
    <w:pPr>
      <w:ind w:left="720"/>
      <w:contextualSpacing/>
    </w:pPr>
  </w:style>
  <w:style w:type="character" w:styleId="aa">
    <w:name w:val="Intense Emphasis"/>
    <w:basedOn w:val="a0"/>
    <w:uiPriority w:val="21"/>
    <w:qFormat/>
    <w:rsid w:val="00C90071"/>
    <w:rPr>
      <w:i/>
      <w:iCs/>
      <w:color w:val="2F5496" w:themeColor="accent1" w:themeShade="BF"/>
    </w:rPr>
  </w:style>
  <w:style w:type="paragraph" w:styleId="ab">
    <w:name w:val="Intense Quote"/>
    <w:basedOn w:val="a"/>
    <w:next w:val="a"/>
    <w:link w:val="ac"/>
    <w:uiPriority w:val="30"/>
    <w:qFormat/>
    <w:rsid w:val="00C900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C90071"/>
    <w:rPr>
      <w:i/>
      <w:iCs/>
      <w:color w:val="2F5496" w:themeColor="accent1" w:themeShade="BF"/>
    </w:rPr>
  </w:style>
  <w:style w:type="character" w:styleId="ad">
    <w:name w:val="Intense Reference"/>
    <w:basedOn w:val="a0"/>
    <w:uiPriority w:val="32"/>
    <w:qFormat/>
    <w:rsid w:val="00C900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461</Words>
  <Characters>2306</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ראובן גורביץ</dc:creator>
  <cp:keywords/>
  <dc:description/>
  <cp:lastModifiedBy>1</cp:lastModifiedBy>
  <cp:revision>2</cp:revision>
  <dcterms:created xsi:type="dcterms:W3CDTF">2025-12-09T08:52:00Z</dcterms:created>
  <dcterms:modified xsi:type="dcterms:W3CDTF">2025-12-10T08:05:00Z</dcterms:modified>
</cp:coreProperties>
</file>