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B782" w14:textId="55BC0431" w:rsidR="00402C3F" w:rsidRDefault="00402C3F" w:rsidP="00F1539F">
      <w:pPr>
        <w:rPr>
          <w:rFonts w:ascii="Arial" w:eastAsia="Times New Roman" w:hAnsi="Arial" w:cs="Arial"/>
          <w:color w:val="FF0000"/>
          <w:shd w:val="clear" w:color="auto" w:fill="FFFFFF"/>
        </w:rPr>
      </w:pPr>
      <w:r>
        <w:rPr>
          <w:rFonts w:ascii="Arial" w:eastAsia="Times New Roman" w:hAnsi="Arial" w:cs="Arial"/>
          <w:color w:val="FF0000"/>
          <w:rtl/>
        </w:rPr>
        <w:t xml:space="preserve">נושא: הלכה, פניני הלכה: </w:t>
      </w:r>
      <w:r w:rsidR="00F1539F">
        <w:rPr>
          <w:rFonts w:ascii="Arial" w:eastAsia="Times New Roman" w:hAnsi="Arial" w:cs="Arial" w:hint="cs"/>
          <w:color w:val="FF0000"/>
          <w:rtl/>
        </w:rPr>
        <w:t>תקיעת שופר</w:t>
      </w:r>
      <w:bookmarkStart w:id="0" w:name="_GoBack"/>
      <w:bookmarkEnd w:id="0"/>
    </w:p>
    <w:p w14:paraId="1783A908" w14:textId="77777777" w:rsidR="00402C3F" w:rsidRDefault="00402C3F" w:rsidP="00402C3F">
      <w:pPr>
        <w:ind w:left="720"/>
        <w:rPr>
          <w:rFonts w:eastAsia="Times New Roman" w:cs="Times New Roman"/>
          <w:color w:val="FF0000"/>
          <w:rtl/>
        </w:rPr>
      </w:pPr>
      <w:r>
        <w:rPr>
          <w:rFonts w:ascii="Arial" w:eastAsia="Times New Roman" w:hAnsi="Arial" w:cs="Arial"/>
          <w:color w:val="FF0000"/>
          <w:shd w:val="clear" w:color="auto" w:fill="FFFFFF"/>
          <w:rtl/>
        </w:rPr>
        <w:t>מחבר: ראובן גורביץ</w:t>
      </w:r>
    </w:p>
    <w:p w14:paraId="30F8513A" w14:textId="77777777" w:rsidR="00402C3F" w:rsidRDefault="00402C3F" w:rsidP="00402C3F">
      <w:pPr>
        <w:shd w:val="clear" w:color="auto" w:fill="FFFFFF"/>
        <w:ind w:left="720"/>
        <w:rPr>
          <w:rFonts w:ascii="Arial" w:eastAsia="Times New Roman" w:hAnsi="Arial" w:cs="Arial"/>
          <w:color w:val="FF0000"/>
        </w:rPr>
      </w:pPr>
      <w:r>
        <w:rPr>
          <w:rFonts w:ascii="Arial" w:eastAsia="Times New Roman" w:hAnsi="Arial" w:cs="Arial"/>
          <w:color w:val="FF0000"/>
          <w:rtl/>
        </w:rPr>
        <w:t>כתות יעד: חטיבת ביניים</w:t>
      </w:r>
    </w:p>
    <w:p w14:paraId="294202C4" w14:textId="77777777" w:rsidR="00402C3F" w:rsidRPr="00402C3F" w:rsidRDefault="00402C3F" w:rsidP="00402C3F">
      <w:pPr>
        <w:ind w:left="720"/>
        <w:rPr>
          <w:rFonts w:cs="Guttman Mantova-Decor"/>
          <w:noProof/>
          <w:sz w:val="10"/>
          <w:szCs w:val="16"/>
        </w:rPr>
      </w:pPr>
    </w:p>
    <w:p w14:paraId="0D3505B9" w14:textId="4419B503" w:rsidR="00786308" w:rsidRPr="00AA7EBC" w:rsidRDefault="00786308" w:rsidP="00786308">
      <w:pPr>
        <w:jc w:val="center"/>
        <w:rPr>
          <w:rFonts w:cs="Guttman Mantova-Decor"/>
          <w:sz w:val="10"/>
          <w:szCs w:val="16"/>
        </w:rPr>
      </w:pPr>
      <w:r w:rsidRPr="00AA7EBC">
        <w:rPr>
          <w:rFonts w:cs="Guttman Mantova-Decor"/>
          <w:noProof/>
          <w:sz w:val="10"/>
          <w:szCs w:val="16"/>
        </w:rPr>
        <w:drawing>
          <wp:anchor distT="0" distB="0" distL="114300" distR="114300" simplePos="0" relativeHeight="251659264" behindDoc="1" locked="0" layoutInCell="1" allowOverlap="1" wp14:anchorId="3808A22F" wp14:editId="73204A09">
            <wp:simplePos x="0" y="0"/>
            <wp:positionH relativeFrom="page">
              <wp:align>center</wp:align>
            </wp:positionH>
            <wp:positionV relativeFrom="paragraph">
              <wp:posOffset>0</wp:posOffset>
            </wp:positionV>
            <wp:extent cx="7117715" cy="1496060"/>
            <wp:effectExtent l="0" t="0" r="6985" b="8890"/>
            <wp:wrapThrough wrapText="bothSides">
              <wp:wrapPolygon edited="0">
                <wp:start x="0" y="0"/>
                <wp:lineTo x="0" y="21453"/>
                <wp:lineTo x="21563" y="21453"/>
                <wp:lineTo x="21563" y="0"/>
                <wp:lineTo x="0" y="0"/>
              </wp:wrapPolygon>
            </wp:wrapThrough>
            <wp:docPr id="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hiva Tichonit netivot A4-03.jpg"/>
                    <pic:cNvPicPr/>
                  </pic:nvPicPr>
                  <pic:blipFill>
                    <a:blip r:embed="rId5">
                      <a:extLst>
                        <a:ext uri="{28A0092B-C50C-407E-A947-70E740481C1C}">
                          <a14:useLocalDpi xmlns:a14="http://schemas.microsoft.com/office/drawing/2010/main" val="0"/>
                        </a:ext>
                      </a:extLst>
                    </a:blip>
                    <a:stretch>
                      <a:fillRect/>
                    </a:stretch>
                  </pic:blipFill>
                  <pic:spPr>
                    <a:xfrm>
                      <a:off x="0" y="0"/>
                      <a:ext cx="7117715" cy="1496060"/>
                    </a:xfrm>
                    <a:prstGeom prst="rect">
                      <a:avLst/>
                    </a:prstGeom>
                  </pic:spPr>
                </pic:pic>
              </a:graphicData>
            </a:graphic>
            <wp14:sizeRelH relativeFrom="page">
              <wp14:pctWidth>0</wp14:pctWidth>
            </wp14:sizeRelH>
            <wp14:sizeRelV relativeFrom="page">
              <wp14:pctHeight>0</wp14:pctHeight>
            </wp14:sizeRelV>
          </wp:anchor>
        </w:drawing>
      </w:r>
    </w:p>
    <w:p w14:paraId="2D147CE6" w14:textId="7EA4A403" w:rsidR="00E9159E" w:rsidRPr="00E9159E" w:rsidRDefault="00E9159E" w:rsidP="00786308">
      <w:pPr>
        <w:jc w:val="center"/>
        <w:rPr>
          <w:rFonts w:cs="Guttman Mantova-Decor"/>
          <w:rtl/>
        </w:rPr>
      </w:pPr>
      <w:r w:rsidRPr="00E9159E">
        <w:rPr>
          <w:rFonts w:cs="Guttman Mantova-Decor" w:hint="cs"/>
          <w:sz w:val="24"/>
          <w:szCs w:val="36"/>
          <w:rtl/>
        </w:rPr>
        <w:t>מצוות תקיעת שופר</w:t>
      </w:r>
    </w:p>
    <w:p w14:paraId="0542336D" w14:textId="30DCEDDD" w:rsidR="00E9159E" w:rsidRDefault="00E9159E" w:rsidP="0031216C">
      <w:pPr>
        <w:rPr>
          <w:rtl/>
        </w:rPr>
      </w:pPr>
    </w:p>
    <w:p w14:paraId="6636EFC8" w14:textId="11D155DE" w:rsidR="0031216C" w:rsidRDefault="0031216C" w:rsidP="00786308">
      <w:pPr>
        <w:spacing w:line="360" w:lineRule="auto"/>
        <w:jc w:val="both"/>
        <w:rPr>
          <w:rtl/>
        </w:rPr>
      </w:pPr>
      <w:r>
        <w:rPr>
          <w:rtl/>
        </w:rPr>
        <w:t xml:space="preserve">מצוות עשה לשמוע תרועת שופר בראש השנה, שנאמר (במדבר </w:t>
      </w:r>
      <w:proofErr w:type="spellStart"/>
      <w:r>
        <w:rPr>
          <w:rtl/>
        </w:rPr>
        <w:t>כט</w:t>
      </w:r>
      <w:proofErr w:type="spellEnd"/>
      <w:r>
        <w:rPr>
          <w:rtl/>
        </w:rPr>
        <w:t xml:space="preserve">, א): "וּבַחֹדֶשׁ הַשְּׁבִיעִי בְּאֶחָד לַחֹדֶשׁ… יוֹם תְּרוּעָה יִהְיֶה לָכֶם". וכן נאמר (ויקרא </w:t>
      </w:r>
      <w:proofErr w:type="spellStart"/>
      <w:r>
        <w:rPr>
          <w:rtl/>
        </w:rPr>
        <w:t>כג</w:t>
      </w:r>
      <w:proofErr w:type="spellEnd"/>
      <w:r>
        <w:rPr>
          <w:rtl/>
        </w:rPr>
        <w:t xml:space="preserve">, כד): "בַּחֹדֶשׁ הַשְּׁבִיעִי בְּאֶחָד לַחֹדֶשׁ יִהְיֶה לָכֶם שַׁבָּתוֹן </w:t>
      </w:r>
      <w:proofErr w:type="spellStart"/>
      <w:r>
        <w:rPr>
          <w:rtl/>
        </w:rPr>
        <w:t>זִכְרוֹן</w:t>
      </w:r>
      <w:proofErr w:type="spellEnd"/>
      <w:r>
        <w:rPr>
          <w:rtl/>
        </w:rPr>
        <w:t xml:space="preserve"> תְּרוּעָה…"</w:t>
      </w:r>
      <w:r w:rsidR="00460E2C">
        <w:rPr>
          <w:rFonts w:hint="cs"/>
          <w:rtl/>
        </w:rPr>
        <w:t>.</w:t>
      </w:r>
    </w:p>
    <w:p w14:paraId="26D7DA2D" w14:textId="77777777" w:rsidR="00460E2C" w:rsidRPr="00460E2C" w:rsidRDefault="00460E2C" w:rsidP="00E9159E">
      <w:pPr>
        <w:jc w:val="both"/>
        <w:rPr>
          <w:sz w:val="10"/>
          <w:szCs w:val="16"/>
          <w:rtl/>
        </w:rPr>
      </w:pPr>
    </w:p>
    <w:p w14:paraId="38177A1D" w14:textId="122E9EA4" w:rsidR="00460E2C" w:rsidRDefault="00460E2C" w:rsidP="00460E2C">
      <w:pPr>
        <w:jc w:val="both"/>
        <w:rPr>
          <w:rtl/>
        </w:rPr>
      </w:pPr>
      <w:r>
        <w:rPr>
          <w:rFonts w:hint="cs"/>
          <w:rtl/>
        </w:rPr>
        <w:t xml:space="preserve">1. מצוות שופר היא מצווה מן התורה, באלו </w:t>
      </w:r>
      <w:r w:rsidRPr="001B29EB">
        <w:rPr>
          <w:rFonts w:hint="cs"/>
          <w:b/>
          <w:bCs/>
          <w:u w:val="single"/>
          <w:rtl/>
        </w:rPr>
        <w:t>פרשיות</w:t>
      </w:r>
      <w:r w:rsidRPr="001B29EB">
        <w:rPr>
          <w:rFonts w:hint="cs"/>
          <w:u w:val="single"/>
          <w:rtl/>
        </w:rPr>
        <w:t xml:space="preserve"> </w:t>
      </w:r>
      <w:r>
        <w:rPr>
          <w:rFonts w:hint="cs"/>
          <w:rtl/>
        </w:rPr>
        <w:t>של התורה נצטווינו על תקיעת שופר?</w:t>
      </w:r>
    </w:p>
    <w:p w14:paraId="77B46BB8" w14:textId="77777777" w:rsidR="00460E2C" w:rsidRPr="00CD526C" w:rsidRDefault="00460E2C" w:rsidP="00460E2C">
      <w:pPr>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499BE5F" w14:textId="77777777" w:rsidR="0031216C" w:rsidRPr="00460E2C" w:rsidRDefault="0031216C" w:rsidP="00E9159E">
      <w:pPr>
        <w:jc w:val="both"/>
        <w:rPr>
          <w:sz w:val="10"/>
          <w:szCs w:val="16"/>
          <w:rtl/>
        </w:rPr>
      </w:pPr>
    </w:p>
    <w:p w14:paraId="0833E971" w14:textId="70815207" w:rsidR="0031216C" w:rsidRDefault="0031216C" w:rsidP="00786308">
      <w:pPr>
        <w:spacing w:line="360" w:lineRule="auto"/>
        <w:jc w:val="both"/>
        <w:rPr>
          <w:rtl/>
        </w:rPr>
      </w:pPr>
      <w:r>
        <w:rPr>
          <w:rtl/>
        </w:rPr>
        <w:t>לעומת התקיעה שמבטאת שמחה ויציבות, התרועה רומזת לשברון, חרדה, בכי ושידוד מערכות</w:t>
      </w:r>
      <w:r w:rsidR="00A313C5" w:rsidRPr="00A313C5">
        <w:rPr>
          <w:rtl/>
        </w:rPr>
        <w:t xml:space="preserve"> </w:t>
      </w:r>
      <w:r w:rsidR="00A313C5">
        <w:rPr>
          <w:rFonts w:hint="cs"/>
          <w:rtl/>
        </w:rPr>
        <w:t>ש</w:t>
      </w:r>
      <w:r w:rsidR="00A313C5">
        <w:rPr>
          <w:rtl/>
        </w:rPr>
        <w:t>נאמר</w:t>
      </w:r>
      <w:r w:rsidR="00A313C5">
        <w:rPr>
          <w:rFonts w:hint="cs"/>
          <w:rtl/>
        </w:rPr>
        <w:t>:</w:t>
      </w:r>
      <w:r w:rsidR="00A313C5">
        <w:rPr>
          <w:rtl/>
        </w:rPr>
        <w:t xml:space="preserve"> "תְּרֹעֵם בְּשֵׁבֶט בַּרְזֶל כִּכְלִי יוֹצֵר תְּנַפְּצֵם", תְּרֹעֵם לשון תשברם.</w:t>
      </w:r>
      <w:r>
        <w:rPr>
          <w:rtl/>
        </w:rPr>
        <w:t xml:space="preserve"> </w:t>
      </w:r>
    </w:p>
    <w:p w14:paraId="2C34C297" w14:textId="77777777" w:rsidR="00460E2C" w:rsidRPr="00460E2C" w:rsidRDefault="00460E2C" w:rsidP="00A313C5">
      <w:pPr>
        <w:jc w:val="both"/>
        <w:rPr>
          <w:sz w:val="10"/>
          <w:szCs w:val="16"/>
          <w:rtl/>
        </w:rPr>
      </w:pPr>
    </w:p>
    <w:p w14:paraId="3FB438FD" w14:textId="77777777" w:rsidR="00460E2C" w:rsidRDefault="00460E2C" w:rsidP="00460E2C">
      <w:pPr>
        <w:jc w:val="both"/>
        <w:rPr>
          <w:rtl/>
        </w:rPr>
      </w:pPr>
      <w:r>
        <w:rPr>
          <w:rFonts w:hint="cs"/>
          <w:rtl/>
        </w:rPr>
        <w:t>2. מה מבטאת התקיעה ומה מבטאת התרועה?</w:t>
      </w:r>
    </w:p>
    <w:p w14:paraId="7FFB2051" w14:textId="77777777" w:rsidR="00460E2C" w:rsidRDefault="00460E2C" w:rsidP="00460E2C">
      <w:pPr>
        <w:jc w:val="both"/>
        <w:rPr>
          <w:u w:val="single"/>
          <w:rtl/>
        </w:rPr>
      </w:pPr>
      <w:r>
        <w:rPr>
          <w:rFonts w:hint="cs"/>
          <w:rtl/>
        </w:rPr>
        <w:t xml:space="preserve">התקיעה: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6013BE88" w14:textId="77777777" w:rsidR="00460E2C" w:rsidRPr="00CD526C" w:rsidRDefault="00460E2C" w:rsidP="00460E2C">
      <w:pPr>
        <w:jc w:val="both"/>
        <w:rPr>
          <w:u w:val="single"/>
          <w:rtl/>
        </w:rPr>
      </w:pPr>
      <w:r w:rsidRPr="00CD526C">
        <w:rPr>
          <w:rFonts w:hint="cs"/>
          <w:rtl/>
        </w:rPr>
        <w:t>התרו</w:t>
      </w:r>
      <w:r>
        <w:rPr>
          <w:rFonts w:hint="cs"/>
          <w:rtl/>
        </w:rPr>
        <w:t xml:space="preserve">עה: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7FE4AB6A" w14:textId="77777777" w:rsidR="00A313C5" w:rsidRPr="00460E2C" w:rsidRDefault="00A313C5" w:rsidP="00A313C5">
      <w:pPr>
        <w:jc w:val="both"/>
        <w:rPr>
          <w:sz w:val="10"/>
          <w:szCs w:val="16"/>
          <w:rtl/>
        </w:rPr>
      </w:pPr>
    </w:p>
    <w:p w14:paraId="791DB279" w14:textId="63273C84" w:rsidR="0031216C" w:rsidRDefault="0031216C" w:rsidP="00786308">
      <w:pPr>
        <w:spacing w:line="360" w:lineRule="auto"/>
        <w:jc w:val="both"/>
        <w:rPr>
          <w:rtl/>
        </w:rPr>
      </w:pPr>
      <w:r>
        <w:rPr>
          <w:rtl/>
        </w:rPr>
        <w:t xml:space="preserve">וכך בראש השנה, בעת שהחיים של השנה הקודמת חלפו ללא שוב, והחיים של השנה החדשה עוד לא נקצבו, מתעורר צער גדול על השנה שאבדה, וחרדה גדולה לקראת הדין על השנה הבאה, שהקטגור עומד כנגדנו, ואיננו יודעים מי יחיה ומי ימות, מי בבריאות ומי בייסורים. ובחסדו של ה' אתנו, ציווה אותנו להריע בשופר, כדי להמתיק את הדין, שעל ידי כך שאנו מקבלים את מלכותו ואת דינו, אנו מתעוררים לתשובה והדין </w:t>
      </w:r>
      <w:proofErr w:type="spellStart"/>
      <w:r>
        <w:rPr>
          <w:rtl/>
        </w:rPr>
        <w:t>מתמתק</w:t>
      </w:r>
      <w:proofErr w:type="spellEnd"/>
      <w:r>
        <w:rPr>
          <w:rtl/>
        </w:rPr>
        <w:t>. ולכן אף שמשך התרועה עצמה קצר, היא מבטאת את אופיו של היום, ועל שמה הוא נקרא 'יוֹם תְּרוּעָה' – יום שברון ובכי, יראה וחרדה.</w:t>
      </w:r>
    </w:p>
    <w:p w14:paraId="73496D91" w14:textId="77777777" w:rsidR="00460E2C" w:rsidRPr="00460E2C" w:rsidRDefault="00460E2C" w:rsidP="00E9159E">
      <w:pPr>
        <w:jc w:val="both"/>
        <w:rPr>
          <w:sz w:val="10"/>
          <w:szCs w:val="16"/>
          <w:rtl/>
        </w:rPr>
      </w:pPr>
    </w:p>
    <w:p w14:paraId="53C432B7" w14:textId="77777777" w:rsidR="00460E2C" w:rsidRDefault="00460E2C" w:rsidP="00460E2C">
      <w:pPr>
        <w:jc w:val="both"/>
        <w:rPr>
          <w:rtl/>
        </w:rPr>
      </w:pPr>
      <w:r>
        <w:rPr>
          <w:rFonts w:hint="cs"/>
          <w:rtl/>
        </w:rPr>
        <w:t xml:space="preserve">3. מדוע ראש השנה נקרא דווקא </w:t>
      </w:r>
      <w:r w:rsidRPr="001B29EB">
        <w:rPr>
          <w:rFonts w:hint="cs"/>
          <w:b/>
          <w:bCs/>
          <w:u w:val="single"/>
          <w:rtl/>
        </w:rPr>
        <w:t>יום תרועה</w:t>
      </w:r>
      <w:r>
        <w:rPr>
          <w:rFonts w:hint="cs"/>
          <w:rtl/>
        </w:rPr>
        <w:t xml:space="preserve"> ולא </w:t>
      </w:r>
      <w:r w:rsidRPr="001B29EB">
        <w:rPr>
          <w:rFonts w:hint="cs"/>
          <w:b/>
          <w:bCs/>
          <w:u w:val="single"/>
          <w:rtl/>
        </w:rPr>
        <w:t>יום התקיעה</w:t>
      </w:r>
      <w:r>
        <w:rPr>
          <w:rFonts w:hint="cs"/>
          <w:rtl/>
        </w:rPr>
        <w:t>?</w:t>
      </w:r>
    </w:p>
    <w:p w14:paraId="28DA8B85" w14:textId="77777777" w:rsidR="00460E2C" w:rsidRPr="00CD526C" w:rsidRDefault="00460E2C" w:rsidP="00460E2C">
      <w:pPr>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1C983CBE" w14:textId="175EF9B3" w:rsidR="0031216C" w:rsidRPr="00460E2C" w:rsidRDefault="0031216C" w:rsidP="00E9159E">
      <w:pPr>
        <w:jc w:val="both"/>
        <w:rPr>
          <w:sz w:val="10"/>
          <w:szCs w:val="16"/>
          <w:rtl/>
        </w:rPr>
      </w:pPr>
    </w:p>
    <w:p w14:paraId="1E0A5FB0" w14:textId="59B97821" w:rsidR="0031216C" w:rsidRDefault="0031216C" w:rsidP="00786308">
      <w:pPr>
        <w:spacing w:line="360" w:lineRule="auto"/>
        <w:jc w:val="both"/>
        <w:rPr>
          <w:rtl/>
        </w:rPr>
      </w:pPr>
      <w:r>
        <w:rPr>
          <w:rtl/>
        </w:rPr>
        <w:t>דייקו חכמים בפסוקים ולמדו שצריך לשמוע בראש השנה שלוש תרועות, ולפני כל תרועה צריך לתקוע תקיעה ולאחר כל תרועה צריך לתקוע תקיעה. הרי שמצווה מהתורה לשמוע בראש השנה שלוש סדרות של 'תקיעה תרועה ותקיעה' (ר"ה לג, ב; לד, א).</w:t>
      </w:r>
    </w:p>
    <w:p w14:paraId="3B427789" w14:textId="77777777" w:rsidR="00460E2C" w:rsidRPr="00460E2C" w:rsidRDefault="00460E2C" w:rsidP="00E9159E">
      <w:pPr>
        <w:jc w:val="both"/>
        <w:rPr>
          <w:sz w:val="10"/>
          <w:szCs w:val="16"/>
          <w:rtl/>
        </w:rPr>
      </w:pPr>
    </w:p>
    <w:p w14:paraId="7B1027D8" w14:textId="77777777" w:rsidR="00460E2C" w:rsidRDefault="00460E2C" w:rsidP="00460E2C">
      <w:pPr>
        <w:jc w:val="both"/>
        <w:rPr>
          <w:rtl/>
        </w:rPr>
      </w:pPr>
      <w:r>
        <w:rPr>
          <w:rFonts w:hint="cs"/>
          <w:rtl/>
        </w:rPr>
        <w:t>4. כמה קולות עלינו לשמוע בראש השנה מדין תורה, ובאיזה סדר?</w:t>
      </w:r>
    </w:p>
    <w:p w14:paraId="272C62AA" w14:textId="35D57A16" w:rsidR="00460E2C" w:rsidRDefault="00460E2C" w:rsidP="00460E2C">
      <w:pPr>
        <w:jc w:val="both"/>
        <w:rPr>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0F059F42" w14:textId="77777777" w:rsidR="0031216C" w:rsidRPr="00460E2C" w:rsidRDefault="0031216C" w:rsidP="00E9159E">
      <w:pPr>
        <w:jc w:val="both"/>
        <w:rPr>
          <w:sz w:val="10"/>
          <w:szCs w:val="16"/>
          <w:rtl/>
        </w:rPr>
      </w:pPr>
    </w:p>
    <w:p w14:paraId="52C445BE" w14:textId="77777777" w:rsidR="008D49A8" w:rsidRDefault="0031216C" w:rsidP="00786308">
      <w:pPr>
        <w:spacing w:line="360" w:lineRule="auto"/>
        <w:jc w:val="both"/>
        <w:rPr>
          <w:rtl/>
        </w:rPr>
      </w:pPr>
      <w:r w:rsidRPr="008D49A8">
        <w:rPr>
          <w:u w:val="single"/>
          <w:rtl/>
        </w:rPr>
        <w:t>התקיעה הראשונה</w:t>
      </w:r>
      <w:r>
        <w:rPr>
          <w:rtl/>
        </w:rPr>
        <w:t xml:space="preserve"> שבכל יחידה מבטאת את הישרות הטבעית של הנשמה, כפי שהיא אצל הילד הרך שעוד לא חטא והוא נקי וטהור מעוונות. לאחר מכן, כשהילד גדל הוא נפגש עם סיבוכי ונפתולי העולם הזה, נאבק ומתנסה, וגם נופל וחוטא. </w:t>
      </w:r>
      <w:r w:rsidRPr="008D49A8">
        <w:rPr>
          <w:u w:val="single"/>
          <w:rtl/>
        </w:rPr>
        <w:t>ואת זה מבטאת התרועה</w:t>
      </w:r>
      <w:r>
        <w:rPr>
          <w:rtl/>
        </w:rPr>
        <w:t xml:space="preserve">, פעם כאנחה ופעם כבכי, על הפגמים שנאחזו במידותינו, ועל החטאים שנכשלנו בהם. </w:t>
      </w:r>
      <w:r w:rsidRPr="008D49A8">
        <w:rPr>
          <w:u w:val="single"/>
          <w:rtl/>
        </w:rPr>
        <w:t>לאחר מכן היחידה מסתיימת בתקיעה פשוטה</w:t>
      </w:r>
      <w:r>
        <w:rPr>
          <w:rtl/>
        </w:rPr>
        <w:t xml:space="preserve">, אשר שוב חוזרת ומבטאת את הישרות ואת הטוב, אך הפעם זו ישרות שלאחר החזרה בתשובה, לאחר בקשת הסליחה. </w:t>
      </w:r>
    </w:p>
    <w:p w14:paraId="653EF0B5" w14:textId="77777777" w:rsidR="00786308" w:rsidRDefault="00786308" w:rsidP="00786308">
      <w:pPr>
        <w:spacing w:line="360" w:lineRule="auto"/>
        <w:jc w:val="both"/>
        <w:rPr>
          <w:u w:val="single"/>
          <w:rtl/>
        </w:rPr>
      </w:pPr>
    </w:p>
    <w:p w14:paraId="6D507CDB" w14:textId="77777777" w:rsidR="00786308" w:rsidRDefault="00786308" w:rsidP="00786308">
      <w:pPr>
        <w:spacing w:line="360" w:lineRule="auto"/>
        <w:jc w:val="both"/>
        <w:rPr>
          <w:u w:val="single"/>
          <w:rtl/>
        </w:rPr>
      </w:pPr>
    </w:p>
    <w:p w14:paraId="06904D45" w14:textId="77777777" w:rsidR="00786308" w:rsidRDefault="00786308" w:rsidP="00786308">
      <w:pPr>
        <w:spacing w:line="360" w:lineRule="auto"/>
        <w:jc w:val="both"/>
        <w:rPr>
          <w:u w:val="single"/>
          <w:rtl/>
        </w:rPr>
      </w:pPr>
    </w:p>
    <w:p w14:paraId="4B8601CB" w14:textId="77777777" w:rsidR="00AA7EBC" w:rsidRDefault="00AA7EBC" w:rsidP="00786308">
      <w:pPr>
        <w:spacing w:line="360" w:lineRule="auto"/>
        <w:jc w:val="both"/>
        <w:rPr>
          <w:u w:val="single"/>
          <w:rtl/>
        </w:rPr>
      </w:pPr>
    </w:p>
    <w:p w14:paraId="319E161B" w14:textId="4DD6FBC8" w:rsidR="0031216C" w:rsidRDefault="0031216C" w:rsidP="00786308">
      <w:pPr>
        <w:spacing w:line="360" w:lineRule="auto"/>
        <w:jc w:val="both"/>
        <w:rPr>
          <w:rtl/>
        </w:rPr>
      </w:pPr>
      <w:r w:rsidRPr="008D49A8">
        <w:rPr>
          <w:u w:val="single"/>
          <w:rtl/>
        </w:rPr>
        <w:t>וכך כל יחידה מבטאת תחום אחר בחיים</w:t>
      </w:r>
      <w:r>
        <w:rPr>
          <w:rtl/>
        </w:rPr>
        <w:t xml:space="preserve">, את תחילתו הטובה, את המשבר שפוקד אותו תוך כדי ההתמודדות עם קשיי החיים, ואת התיקון שבסוף. בסיום כל התקיעות, נוהגים לתקוע תקיעה גדולה וארוכה, המבטאת את התיקון הגמור שלאחר סיום כל המאבקים והייסורים (עי' של"ה מס' ר"ה תורה אור </w:t>
      </w:r>
      <w:proofErr w:type="spellStart"/>
      <w:r>
        <w:rPr>
          <w:rtl/>
        </w:rPr>
        <w:t>נה</w:t>
      </w:r>
      <w:proofErr w:type="spellEnd"/>
      <w:r>
        <w:rPr>
          <w:rtl/>
        </w:rPr>
        <w:t>).</w:t>
      </w:r>
    </w:p>
    <w:p w14:paraId="2470BDA2" w14:textId="77777777" w:rsidR="00786308" w:rsidRDefault="00786308" w:rsidP="00460E2C">
      <w:pPr>
        <w:jc w:val="both"/>
        <w:rPr>
          <w:rtl/>
        </w:rPr>
      </w:pPr>
    </w:p>
    <w:p w14:paraId="332297B9" w14:textId="2FA9E987" w:rsidR="00460E2C" w:rsidRDefault="00786308" w:rsidP="00460E2C">
      <w:pPr>
        <w:jc w:val="both"/>
        <w:rPr>
          <w:rtl/>
        </w:rPr>
      </w:pPr>
      <w:r>
        <w:rPr>
          <w:rFonts w:hint="cs"/>
          <w:rtl/>
        </w:rPr>
        <w:t>5</w:t>
      </w:r>
      <w:r w:rsidR="00460E2C">
        <w:rPr>
          <w:rFonts w:hint="cs"/>
          <w:rtl/>
        </w:rPr>
        <w:t xml:space="preserve">. השלם את הטבלה: </w:t>
      </w:r>
      <w:r w:rsidR="00460E2C">
        <w:rPr>
          <w:rFonts w:hint="cs"/>
          <w:b/>
          <w:bCs/>
          <w:rtl/>
        </w:rPr>
        <w:t>(</w:t>
      </w:r>
      <w:r w:rsidR="00460E2C" w:rsidRPr="00E73DCD">
        <w:rPr>
          <w:rFonts w:hint="cs"/>
          <w:b/>
          <w:bCs/>
          <w:rtl/>
        </w:rPr>
        <w:t>יש ל</w:t>
      </w:r>
      <w:r w:rsidR="00460E2C">
        <w:rPr>
          <w:rFonts w:hint="cs"/>
          <w:b/>
          <w:bCs/>
          <w:rtl/>
        </w:rPr>
        <w:t>השלים</w:t>
      </w:r>
      <w:r w:rsidR="00460E2C" w:rsidRPr="00E73DCD">
        <w:rPr>
          <w:rFonts w:hint="cs"/>
          <w:b/>
          <w:bCs/>
          <w:rtl/>
        </w:rPr>
        <w:t xml:space="preserve"> רק איפה שאפור</w:t>
      </w:r>
      <w:r w:rsidR="00460E2C">
        <w:rPr>
          <w:rFonts w:hint="cs"/>
          <w:rtl/>
        </w:rPr>
        <w:t xml:space="preserve">) </w:t>
      </w:r>
    </w:p>
    <w:p w14:paraId="5541F68D" w14:textId="5D7F712F" w:rsidR="00460E2C" w:rsidRPr="00E73DCD" w:rsidRDefault="00460E2C" w:rsidP="00AA7EBC">
      <w:pPr>
        <w:jc w:val="both"/>
        <w:rPr>
          <w:b/>
          <w:bCs/>
          <w:rtl/>
        </w:rPr>
      </w:pPr>
      <w:r>
        <w:rPr>
          <w:rFonts w:hint="cs"/>
          <w:rtl/>
        </w:rPr>
        <w:t xml:space="preserve">  </w:t>
      </w:r>
      <w:r w:rsidR="00AA7EBC">
        <w:rPr>
          <w:rFonts w:hint="cs"/>
          <w:rtl/>
        </w:rPr>
        <w:t xml:space="preserve">  </w:t>
      </w:r>
      <w:r>
        <w:rPr>
          <w:rFonts w:hint="cs"/>
          <w:rtl/>
        </w:rPr>
        <w:t xml:space="preserve">מה מבטאת כל אחת מן הקולות ומה מבטאת כל אחת מהסדרות. </w:t>
      </w:r>
    </w:p>
    <w:tbl>
      <w:tblPr>
        <w:tblStyle w:val="a3"/>
        <w:bidiVisual/>
        <w:tblW w:w="10883" w:type="dxa"/>
        <w:tblLook w:val="04A0" w:firstRow="1" w:lastRow="0" w:firstColumn="1" w:lastColumn="0" w:noHBand="0" w:noVBand="1"/>
      </w:tblPr>
      <w:tblGrid>
        <w:gridCol w:w="3797"/>
        <w:gridCol w:w="2362"/>
        <w:gridCol w:w="2362"/>
        <w:gridCol w:w="2362"/>
      </w:tblGrid>
      <w:tr w:rsidR="00460E2C" w14:paraId="12638B9F" w14:textId="77777777" w:rsidTr="005D6317">
        <w:tc>
          <w:tcPr>
            <w:tcW w:w="3797" w:type="dxa"/>
            <w:shd w:val="clear" w:color="auto" w:fill="E7E6E6" w:themeFill="background2"/>
          </w:tcPr>
          <w:p w14:paraId="5E9C6BDE" w14:textId="77777777" w:rsidR="00460E2C" w:rsidRDefault="00460E2C" w:rsidP="005D6317">
            <w:pPr>
              <w:jc w:val="both"/>
              <w:rPr>
                <w:rtl/>
              </w:rPr>
            </w:pPr>
          </w:p>
        </w:tc>
        <w:tc>
          <w:tcPr>
            <w:tcW w:w="2362" w:type="dxa"/>
            <w:shd w:val="clear" w:color="auto" w:fill="E7E6E6" w:themeFill="background2"/>
          </w:tcPr>
          <w:p w14:paraId="31E30C06" w14:textId="77777777" w:rsidR="00460E2C" w:rsidRDefault="00460E2C" w:rsidP="005D6317">
            <w:pPr>
              <w:jc w:val="both"/>
              <w:rPr>
                <w:rtl/>
              </w:rPr>
            </w:pPr>
            <w:r>
              <w:rPr>
                <w:rFonts w:hint="cs"/>
                <w:rtl/>
              </w:rPr>
              <w:t>הקול הזה מבטא:</w:t>
            </w:r>
          </w:p>
          <w:p w14:paraId="6E511CFE" w14:textId="77777777" w:rsidR="00460E2C" w:rsidRDefault="00460E2C" w:rsidP="005D6317">
            <w:pPr>
              <w:jc w:val="both"/>
              <w:rPr>
                <w:rtl/>
              </w:rPr>
            </w:pPr>
          </w:p>
          <w:p w14:paraId="38D21BCF" w14:textId="77777777" w:rsidR="00460E2C" w:rsidRDefault="00460E2C" w:rsidP="005D6317">
            <w:pPr>
              <w:jc w:val="both"/>
              <w:rPr>
                <w:rtl/>
              </w:rPr>
            </w:pPr>
          </w:p>
        </w:tc>
        <w:tc>
          <w:tcPr>
            <w:tcW w:w="2362" w:type="dxa"/>
            <w:shd w:val="clear" w:color="auto" w:fill="E7E6E6" w:themeFill="background2"/>
          </w:tcPr>
          <w:p w14:paraId="6F819E73" w14:textId="77777777" w:rsidR="00460E2C" w:rsidRDefault="00460E2C" w:rsidP="005D6317">
            <w:pPr>
              <w:jc w:val="both"/>
              <w:rPr>
                <w:rtl/>
              </w:rPr>
            </w:pPr>
            <w:r>
              <w:rPr>
                <w:rFonts w:hint="cs"/>
                <w:rtl/>
              </w:rPr>
              <w:t>הקול הזה מבטא:</w:t>
            </w:r>
          </w:p>
        </w:tc>
        <w:tc>
          <w:tcPr>
            <w:tcW w:w="2362" w:type="dxa"/>
            <w:shd w:val="clear" w:color="auto" w:fill="E7E6E6" w:themeFill="background2"/>
          </w:tcPr>
          <w:p w14:paraId="5AA8A234" w14:textId="77777777" w:rsidR="00460E2C" w:rsidRDefault="00460E2C" w:rsidP="005D6317">
            <w:pPr>
              <w:jc w:val="both"/>
              <w:rPr>
                <w:rtl/>
              </w:rPr>
            </w:pPr>
            <w:r>
              <w:rPr>
                <w:rFonts w:hint="cs"/>
                <w:rtl/>
              </w:rPr>
              <w:t>הקול הזה מבטא:</w:t>
            </w:r>
          </w:p>
        </w:tc>
      </w:tr>
      <w:tr w:rsidR="00460E2C" w14:paraId="4F3D7685" w14:textId="77777777" w:rsidTr="005D6317">
        <w:tc>
          <w:tcPr>
            <w:tcW w:w="3797" w:type="dxa"/>
            <w:shd w:val="clear" w:color="auto" w:fill="E7E6E6" w:themeFill="background2"/>
          </w:tcPr>
          <w:p w14:paraId="0FF0075D" w14:textId="77777777" w:rsidR="00460E2C" w:rsidRDefault="00460E2C" w:rsidP="005D6317">
            <w:pPr>
              <w:jc w:val="both"/>
              <w:rPr>
                <w:rtl/>
              </w:rPr>
            </w:pPr>
            <w:r>
              <w:rPr>
                <w:rFonts w:hint="cs"/>
                <w:rtl/>
              </w:rPr>
              <w:t>הסדרה הזאת מבטאת:</w:t>
            </w:r>
          </w:p>
          <w:p w14:paraId="065741E5" w14:textId="77777777" w:rsidR="00460E2C" w:rsidRDefault="00460E2C" w:rsidP="005D6317">
            <w:pPr>
              <w:jc w:val="both"/>
              <w:rPr>
                <w:rtl/>
              </w:rPr>
            </w:pPr>
          </w:p>
          <w:p w14:paraId="5C87B020" w14:textId="77777777" w:rsidR="00460E2C" w:rsidRDefault="00460E2C" w:rsidP="005D6317">
            <w:pPr>
              <w:jc w:val="both"/>
              <w:rPr>
                <w:rtl/>
              </w:rPr>
            </w:pPr>
          </w:p>
        </w:tc>
        <w:tc>
          <w:tcPr>
            <w:tcW w:w="2362" w:type="dxa"/>
            <w:vAlign w:val="center"/>
          </w:tcPr>
          <w:p w14:paraId="5C7CB5D5" w14:textId="77777777" w:rsidR="00460E2C" w:rsidRPr="00F25097" w:rsidRDefault="00460E2C" w:rsidP="005D6317">
            <w:pPr>
              <w:jc w:val="center"/>
              <w:rPr>
                <w:rFonts w:cs="Guttman Vilna"/>
                <w:rtl/>
              </w:rPr>
            </w:pPr>
            <w:r w:rsidRPr="00F25097">
              <w:rPr>
                <w:rFonts w:cs="Guttman Vilna" w:hint="cs"/>
                <w:rtl/>
              </w:rPr>
              <w:t>תקיעה</w:t>
            </w:r>
          </w:p>
        </w:tc>
        <w:tc>
          <w:tcPr>
            <w:tcW w:w="2362" w:type="dxa"/>
            <w:vAlign w:val="center"/>
          </w:tcPr>
          <w:p w14:paraId="37589009" w14:textId="77777777" w:rsidR="00460E2C" w:rsidRPr="00F25097" w:rsidRDefault="00460E2C" w:rsidP="005D6317">
            <w:pPr>
              <w:jc w:val="center"/>
              <w:rPr>
                <w:rFonts w:cs="Guttman Vilna"/>
                <w:rtl/>
              </w:rPr>
            </w:pPr>
            <w:r w:rsidRPr="00F25097">
              <w:rPr>
                <w:rFonts w:cs="Guttman Vilna" w:hint="cs"/>
                <w:rtl/>
              </w:rPr>
              <w:t>תרועה</w:t>
            </w:r>
          </w:p>
        </w:tc>
        <w:tc>
          <w:tcPr>
            <w:tcW w:w="2362" w:type="dxa"/>
            <w:vAlign w:val="center"/>
          </w:tcPr>
          <w:p w14:paraId="5B9A7313" w14:textId="77777777" w:rsidR="00460E2C" w:rsidRPr="00F25097" w:rsidRDefault="00460E2C" w:rsidP="005D6317">
            <w:pPr>
              <w:jc w:val="center"/>
              <w:rPr>
                <w:rFonts w:cs="Guttman Vilna"/>
                <w:rtl/>
              </w:rPr>
            </w:pPr>
            <w:r w:rsidRPr="00F25097">
              <w:rPr>
                <w:rFonts w:cs="Guttman Vilna" w:hint="cs"/>
                <w:rtl/>
              </w:rPr>
              <w:t>תקיעה</w:t>
            </w:r>
          </w:p>
        </w:tc>
      </w:tr>
      <w:tr w:rsidR="00460E2C" w14:paraId="07371081" w14:textId="77777777" w:rsidTr="005D6317">
        <w:tc>
          <w:tcPr>
            <w:tcW w:w="3797" w:type="dxa"/>
            <w:shd w:val="clear" w:color="auto" w:fill="E7E6E6" w:themeFill="background2"/>
          </w:tcPr>
          <w:p w14:paraId="03F8A543" w14:textId="77777777" w:rsidR="00460E2C" w:rsidRDefault="00460E2C" w:rsidP="005D6317">
            <w:pPr>
              <w:jc w:val="both"/>
              <w:rPr>
                <w:rtl/>
              </w:rPr>
            </w:pPr>
            <w:r>
              <w:rPr>
                <w:rFonts w:hint="cs"/>
                <w:rtl/>
              </w:rPr>
              <w:t>הסדרה הזאת מבטאת:</w:t>
            </w:r>
          </w:p>
          <w:p w14:paraId="74E89FC1" w14:textId="77777777" w:rsidR="00460E2C" w:rsidRDefault="00460E2C" w:rsidP="005D6317">
            <w:pPr>
              <w:jc w:val="both"/>
              <w:rPr>
                <w:rtl/>
              </w:rPr>
            </w:pPr>
          </w:p>
          <w:p w14:paraId="1B459398" w14:textId="77777777" w:rsidR="00460E2C" w:rsidRDefault="00460E2C" w:rsidP="005D6317">
            <w:pPr>
              <w:jc w:val="both"/>
              <w:rPr>
                <w:rtl/>
              </w:rPr>
            </w:pPr>
          </w:p>
        </w:tc>
        <w:tc>
          <w:tcPr>
            <w:tcW w:w="2362" w:type="dxa"/>
            <w:vAlign w:val="center"/>
          </w:tcPr>
          <w:p w14:paraId="573BF806" w14:textId="77777777" w:rsidR="00460E2C" w:rsidRPr="00F25097" w:rsidRDefault="00460E2C" w:rsidP="005D6317">
            <w:pPr>
              <w:jc w:val="center"/>
              <w:rPr>
                <w:rFonts w:cs="Guttman Vilna"/>
                <w:rtl/>
              </w:rPr>
            </w:pPr>
            <w:r w:rsidRPr="00F25097">
              <w:rPr>
                <w:rFonts w:cs="Guttman Vilna" w:hint="cs"/>
                <w:rtl/>
              </w:rPr>
              <w:t>תקיעה</w:t>
            </w:r>
          </w:p>
        </w:tc>
        <w:tc>
          <w:tcPr>
            <w:tcW w:w="2362" w:type="dxa"/>
            <w:vAlign w:val="center"/>
          </w:tcPr>
          <w:p w14:paraId="32A6D4CC" w14:textId="77777777" w:rsidR="00460E2C" w:rsidRPr="00F25097" w:rsidRDefault="00460E2C" w:rsidP="005D6317">
            <w:pPr>
              <w:jc w:val="center"/>
              <w:rPr>
                <w:rFonts w:cs="Guttman Vilna"/>
                <w:rtl/>
              </w:rPr>
            </w:pPr>
            <w:r w:rsidRPr="00F25097">
              <w:rPr>
                <w:rFonts w:cs="Guttman Vilna" w:hint="cs"/>
                <w:rtl/>
              </w:rPr>
              <w:t>תרועה</w:t>
            </w:r>
          </w:p>
        </w:tc>
        <w:tc>
          <w:tcPr>
            <w:tcW w:w="2362" w:type="dxa"/>
            <w:vAlign w:val="center"/>
          </w:tcPr>
          <w:p w14:paraId="453E6F0D" w14:textId="77777777" w:rsidR="00460E2C" w:rsidRPr="00F25097" w:rsidRDefault="00460E2C" w:rsidP="005D6317">
            <w:pPr>
              <w:jc w:val="center"/>
              <w:rPr>
                <w:rFonts w:cs="Guttman Vilna"/>
                <w:rtl/>
              </w:rPr>
            </w:pPr>
            <w:r w:rsidRPr="00F25097">
              <w:rPr>
                <w:rFonts w:cs="Guttman Vilna" w:hint="cs"/>
                <w:rtl/>
              </w:rPr>
              <w:t>תקיעה</w:t>
            </w:r>
          </w:p>
        </w:tc>
      </w:tr>
      <w:tr w:rsidR="00460E2C" w14:paraId="6030BEE0" w14:textId="77777777" w:rsidTr="005D6317">
        <w:tc>
          <w:tcPr>
            <w:tcW w:w="3797" w:type="dxa"/>
            <w:shd w:val="clear" w:color="auto" w:fill="E7E6E6" w:themeFill="background2"/>
          </w:tcPr>
          <w:p w14:paraId="6680E2FA" w14:textId="77777777" w:rsidR="00460E2C" w:rsidRDefault="00460E2C" w:rsidP="005D6317">
            <w:pPr>
              <w:jc w:val="both"/>
              <w:rPr>
                <w:rtl/>
              </w:rPr>
            </w:pPr>
            <w:r>
              <w:rPr>
                <w:rFonts w:hint="cs"/>
                <w:rtl/>
              </w:rPr>
              <w:t>הסדרה הזאת מבטאת:</w:t>
            </w:r>
          </w:p>
          <w:p w14:paraId="799080E9" w14:textId="77777777" w:rsidR="00460E2C" w:rsidRDefault="00460E2C" w:rsidP="005D6317">
            <w:pPr>
              <w:jc w:val="both"/>
              <w:rPr>
                <w:rtl/>
              </w:rPr>
            </w:pPr>
          </w:p>
          <w:p w14:paraId="37AE60A8" w14:textId="77777777" w:rsidR="00460E2C" w:rsidRDefault="00460E2C" w:rsidP="005D6317">
            <w:pPr>
              <w:jc w:val="both"/>
              <w:rPr>
                <w:rtl/>
              </w:rPr>
            </w:pPr>
          </w:p>
        </w:tc>
        <w:tc>
          <w:tcPr>
            <w:tcW w:w="2362" w:type="dxa"/>
            <w:vAlign w:val="center"/>
          </w:tcPr>
          <w:p w14:paraId="37BEEA2B" w14:textId="77777777" w:rsidR="00460E2C" w:rsidRPr="00F25097" w:rsidRDefault="00460E2C" w:rsidP="005D6317">
            <w:pPr>
              <w:jc w:val="center"/>
              <w:rPr>
                <w:rFonts w:cs="Guttman Vilna"/>
                <w:rtl/>
              </w:rPr>
            </w:pPr>
            <w:r w:rsidRPr="00F25097">
              <w:rPr>
                <w:rFonts w:cs="Guttman Vilna" w:hint="cs"/>
                <w:rtl/>
              </w:rPr>
              <w:t>תקיעה</w:t>
            </w:r>
          </w:p>
        </w:tc>
        <w:tc>
          <w:tcPr>
            <w:tcW w:w="2362" w:type="dxa"/>
            <w:vAlign w:val="center"/>
          </w:tcPr>
          <w:p w14:paraId="322A44FF" w14:textId="77777777" w:rsidR="00460E2C" w:rsidRPr="00F25097" w:rsidRDefault="00460E2C" w:rsidP="005D6317">
            <w:pPr>
              <w:jc w:val="center"/>
              <w:rPr>
                <w:rFonts w:cs="Guttman Vilna"/>
                <w:rtl/>
              </w:rPr>
            </w:pPr>
            <w:r w:rsidRPr="00F25097">
              <w:rPr>
                <w:rFonts w:cs="Guttman Vilna" w:hint="cs"/>
                <w:rtl/>
              </w:rPr>
              <w:t>תרועה</w:t>
            </w:r>
          </w:p>
        </w:tc>
        <w:tc>
          <w:tcPr>
            <w:tcW w:w="2362" w:type="dxa"/>
            <w:vAlign w:val="center"/>
          </w:tcPr>
          <w:p w14:paraId="1AA5A828" w14:textId="77777777" w:rsidR="00460E2C" w:rsidRPr="00F25097" w:rsidRDefault="00460E2C" w:rsidP="005D6317">
            <w:pPr>
              <w:jc w:val="center"/>
              <w:rPr>
                <w:rFonts w:cs="Guttman Vilna"/>
                <w:rtl/>
              </w:rPr>
            </w:pPr>
            <w:r w:rsidRPr="00F25097">
              <w:rPr>
                <w:rFonts w:cs="Guttman Vilna" w:hint="cs"/>
                <w:rtl/>
              </w:rPr>
              <w:t>תקיעה</w:t>
            </w:r>
          </w:p>
        </w:tc>
      </w:tr>
    </w:tbl>
    <w:p w14:paraId="055058EC" w14:textId="1427A9D0" w:rsidR="00CB652C" w:rsidRDefault="00CB652C" w:rsidP="00E9159E">
      <w:pPr>
        <w:jc w:val="both"/>
        <w:rPr>
          <w:rtl/>
        </w:rPr>
      </w:pPr>
    </w:p>
    <w:p w14:paraId="70B6330A" w14:textId="2EFF955F" w:rsidR="00CB652C" w:rsidRDefault="00CB652C" w:rsidP="00AA7EBC">
      <w:pPr>
        <w:spacing w:line="276" w:lineRule="auto"/>
        <w:jc w:val="both"/>
        <w:rPr>
          <w:rtl/>
        </w:rPr>
      </w:pPr>
      <w:r>
        <w:rPr>
          <w:rtl/>
        </w:rPr>
        <w:t>כפי שלמדנו, התרועה רומזת לצער, שברון ובכי, אלא שברבות השנים התעורר ספק כיצד היא התרועה הראויה ביותר. היו קהילות שהריעו בקולות בינוניים כדוגמת השברים הדומים לאנחות. והיו קהילות שהריעו בקולות קצרים כדוגמת בכי קטוע. והיו קהילות שהריעו בשני הקולות יחד, תחילה בקול אנחות ואח"כ בקול בכי, כדרך אדם שמצטער, שמתחיל באנחות וממשיך בבכי. ואף שבכל סוגי התרועות היו יוצאים ידי מצוות השופר, בעיני ההדיוטות היה נראה כאילו נחלקו ישראל במצווה זו.</w:t>
      </w:r>
    </w:p>
    <w:p w14:paraId="1E1225BF" w14:textId="30DB6328" w:rsidR="00786308" w:rsidRDefault="00786308" w:rsidP="00E9159E">
      <w:pPr>
        <w:jc w:val="both"/>
        <w:rPr>
          <w:rtl/>
        </w:rPr>
      </w:pPr>
    </w:p>
    <w:p w14:paraId="6A89ED27" w14:textId="29A28065" w:rsidR="00786308" w:rsidRDefault="00786308" w:rsidP="00786308">
      <w:pPr>
        <w:jc w:val="both"/>
        <w:rPr>
          <w:rtl/>
        </w:rPr>
      </w:pPr>
      <w:r>
        <w:rPr>
          <w:rFonts w:hint="cs"/>
          <w:rtl/>
        </w:rPr>
        <w:t>6. יש 3 אפשרויות כיצד לתקוע את התרועה. איך תוקעים כל סוג? ומה השם שניתן לאותה אפשרות?</w:t>
      </w:r>
    </w:p>
    <w:tbl>
      <w:tblPr>
        <w:tblStyle w:val="a3"/>
        <w:tblpPr w:leftFromText="180" w:rightFromText="180" w:vertAnchor="text" w:horzAnchor="margin" w:tblpXSpec="center" w:tblpY="104"/>
        <w:bidiVisual/>
        <w:tblW w:w="0" w:type="auto"/>
        <w:tblLook w:val="04A0" w:firstRow="1" w:lastRow="0" w:firstColumn="1" w:lastColumn="0" w:noHBand="0" w:noVBand="1"/>
      </w:tblPr>
      <w:tblGrid>
        <w:gridCol w:w="7083"/>
        <w:gridCol w:w="2548"/>
      </w:tblGrid>
      <w:tr w:rsidR="00786308" w14:paraId="23E29E95" w14:textId="77777777" w:rsidTr="005D6317">
        <w:tc>
          <w:tcPr>
            <w:tcW w:w="7083" w:type="dxa"/>
          </w:tcPr>
          <w:p w14:paraId="485BDECA" w14:textId="77777777" w:rsidR="00786308" w:rsidRPr="00786308" w:rsidRDefault="00786308" w:rsidP="005D6317">
            <w:pPr>
              <w:jc w:val="both"/>
              <w:rPr>
                <w:rFonts w:ascii="Aharoni" w:hAnsi="Aharoni" w:cs="Aharoni"/>
                <w:b/>
                <w:bCs/>
                <w:sz w:val="22"/>
                <w:szCs w:val="32"/>
                <w:rtl/>
              </w:rPr>
            </w:pPr>
            <w:r w:rsidRPr="00786308">
              <w:rPr>
                <w:rFonts w:ascii="Aharoni" w:hAnsi="Aharoni" w:cs="Aharoni"/>
                <w:b/>
                <w:bCs/>
                <w:sz w:val="22"/>
                <w:szCs w:val="32"/>
                <w:rtl/>
              </w:rPr>
              <w:t>כיצד נעשית התרועה....</w:t>
            </w:r>
          </w:p>
        </w:tc>
        <w:tc>
          <w:tcPr>
            <w:tcW w:w="2548" w:type="dxa"/>
          </w:tcPr>
          <w:p w14:paraId="077EBB43" w14:textId="77777777" w:rsidR="00786308" w:rsidRPr="00786308" w:rsidRDefault="00786308" w:rsidP="005D6317">
            <w:pPr>
              <w:jc w:val="both"/>
              <w:rPr>
                <w:rFonts w:ascii="Aharoni" w:hAnsi="Aharoni" w:cs="Aharoni"/>
                <w:b/>
                <w:bCs/>
                <w:sz w:val="22"/>
                <w:szCs w:val="32"/>
                <w:rtl/>
              </w:rPr>
            </w:pPr>
            <w:r w:rsidRPr="00786308">
              <w:rPr>
                <w:rFonts w:ascii="Aharoni" w:hAnsi="Aharoni" w:cs="Aharoni"/>
                <w:b/>
                <w:bCs/>
                <w:sz w:val="22"/>
                <w:szCs w:val="32"/>
                <w:rtl/>
              </w:rPr>
              <w:t>כיצד נקראת....</w:t>
            </w:r>
          </w:p>
        </w:tc>
      </w:tr>
      <w:tr w:rsidR="00786308" w14:paraId="6A3D5D28" w14:textId="77777777" w:rsidTr="005D6317">
        <w:tc>
          <w:tcPr>
            <w:tcW w:w="7083" w:type="dxa"/>
          </w:tcPr>
          <w:p w14:paraId="47EA782B" w14:textId="77777777" w:rsidR="00786308" w:rsidRDefault="00786308" w:rsidP="00786308">
            <w:pPr>
              <w:spacing w:line="360" w:lineRule="auto"/>
              <w:jc w:val="both"/>
              <w:rPr>
                <w:rtl/>
              </w:rPr>
            </w:pPr>
            <w:r>
              <w:rPr>
                <w:rFonts w:hint="cs"/>
                <w:rtl/>
              </w:rPr>
              <w:t>1.</w:t>
            </w:r>
          </w:p>
        </w:tc>
        <w:tc>
          <w:tcPr>
            <w:tcW w:w="2548" w:type="dxa"/>
          </w:tcPr>
          <w:p w14:paraId="0910F2C0" w14:textId="77777777" w:rsidR="00786308" w:rsidRDefault="00786308" w:rsidP="005D6317">
            <w:pPr>
              <w:jc w:val="both"/>
              <w:rPr>
                <w:rtl/>
              </w:rPr>
            </w:pPr>
          </w:p>
        </w:tc>
      </w:tr>
      <w:tr w:rsidR="00786308" w14:paraId="548E1B4F" w14:textId="77777777" w:rsidTr="005D6317">
        <w:tc>
          <w:tcPr>
            <w:tcW w:w="7083" w:type="dxa"/>
          </w:tcPr>
          <w:p w14:paraId="4F2BA438" w14:textId="77777777" w:rsidR="00786308" w:rsidRDefault="00786308" w:rsidP="00786308">
            <w:pPr>
              <w:spacing w:line="360" w:lineRule="auto"/>
              <w:jc w:val="both"/>
              <w:rPr>
                <w:rtl/>
              </w:rPr>
            </w:pPr>
            <w:r>
              <w:rPr>
                <w:rFonts w:hint="cs"/>
                <w:rtl/>
              </w:rPr>
              <w:t>2.</w:t>
            </w:r>
          </w:p>
        </w:tc>
        <w:tc>
          <w:tcPr>
            <w:tcW w:w="2548" w:type="dxa"/>
          </w:tcPr>
          <w:p w14:paraId="5847C645" w14:textId="77777777" w:rsidR="00786308" w:rsidRDefault="00786308" w:rsidP="005D6317">
            <w:pPr>
              <w:jc w:val="both"/>
              <w:rPr>
                <w:rtl/>
              </w:rPr>
            </w:pPr>
          </w:p>
        </w:tc>
      </w:tr>
      <w:tr w:rsidR="00786308" w14:paraId="40020C66" w14:textId="77777777" w:rsidTr="005D6317">
        <w:tc>
          <w:tcPr>
            <w:tcW w:w="7083" w:type="dxa"/>
          </w:tcPr>
          <w:p w14:paraId="6ABA8229" w14:textId="77777777" w:rsidR="00786308" w:rsidRDefault="00786308" w:rsidP="00786308">
            <w:pPr>
              <w:spacing w:line="360" w:lineRule="auto"/>
              <w:jc w:val="both"/>
              <w:rPr>
                <w:rtl/>
              </w:rPr>
            </w:pPr>
            <w:r>
              <w:rPr>
                <w:rFonts w:hint="cs"/>
                <w:rtl/>
              </w:rPr>
              <w:t xml:space="preserve">3. </w:t>
            </w:r>
          </w:p>
        </w:tc>
        <w:tc>
          <w:tcPr>
            <w:tcW w:w="2548" w:type="dxa"/>
          </w:tcPr>
          <w:p w14:paraId="10203E48" w14:textId="77777777" w:rsidR="00786308" w:rsidRDefault="00786308" w:rsidP="005D6317">
            <w:pPr>
              <w:jc w:val="both"/>
              <w:rPr>
                <w:rtl/>
              </w:rPr>
            </w:pPr>
          </w:p>
        </w:tc>
      </w:tr>
    </w:tbl>
    <w:p w14:paraId="6B77B5E4" w14:textId="77777777" w:rsidR="00786308" w:rsidRDefault="00786308" w:rsidP="00E9159E">
      <w:pPr>
        <w:jc w:val="both"/>
        <w:rPr>
          <w:rtl/>
        </w:rPr>
      </w:pPr>
    </w:p>
    <w:p w14:paraId="3882403C" w14:textId="77777777" w:rsidR="00786308" w:rsidRDefault="00786308" w:rsidP="00E9159E">
      <w:pPr>
        <w:jc w:val="both"/>
        <w:rPr>
          <w:rtl/>
        </w:rPr>
      </w:pPr>
    </w:p>
    <w:p w14:paraId="18D108B6" w14:textId="77777777" w:rsidR="00CB652C" w:rsidRDefault="00CB652C" w:rsidP="00E9159E">
      <w:pPr>
        <w:jc w:val="both"/>
        <w:rPr>
          <w:rtl/>
        </w:rPr>
      </w:pPr>
    </w:p>
    <w:p w14:paraId="20159140" w14:textId="77777777" w:rsidR="00AA7EBC" w:rsidRDefault="00AA7EBC" w:rsidP="00E9159E">
      <w:pPr>
        <w:jc w:val="both"/>
        <w:rPr>
          <w:rtl/>
        </w:rPr>
      </w:pPr>
    </w:p>
    <w:p w14:paraId="11135FE3" w14:textId="77777777" w:rsidR="00AA7EBC" w:rsidRDefault="00AA7EBC" w:rsidP="00E9159E">
      <w:pPr>
        <w:jc w:val="both"/>
        <w:rPr>
          <w:rtl/>
        </w:rPr>
      </w:pPr>
    </w:p>
    <w:p w14:paraId="0180B7A8" w14:textId="77777777" w:rsidR="00AA7EBC" w:rsidRDefault="00AA7EBC" w:rsidP="00E9159E">
      <w:pPr>
        <w:jc w:val="both"/>
        <w:rPr>
          <w:rtl/>
        </w:rPr>
      </w:pPr>
    </w:p>
    <w:p w14:paraId="5586D950" w14:textId="77777777" w:rsidR="00AA7EBC" w:rsidRDefault="00AA7EBC" w:rsidP="00E9159E">
      <w:pPr>
        <w:jc w:val="both"/>
        <w:rPr>
          <w:rtl/>
        </w:rPr>
      </w:pPr>
    </w:p>
    <w:p w14:paraId="3FDAA568" w14:textId="77777777" w:rsidR="00AA7EBC" w:rsidRPr="00AA7EBC" w:rsidRDefault="00AA7EBC" w:rsidP="00E9159E">
      <w:pPr>
        <w:jc w:val="both"/>
        <w:rPr>
          <w:sz w:val="10"/>
          <w:szCs w:val="16"/>
          <w:rtl/>
        </w:rPr>
      </w:pPr>
    </w:p>
    <w:p w14:paraId="2647EE2F" w14:textId="314BB139" w:rsidR="00CB652C" w:rsidRDefault="00CB652C" w:rsidP="00AA7EBC">
      <w:pPr>
        <w:spacing w:line="276" w:lineRule="auto"/>
        <w:jc w:val="both"/>
        <w:rPr>
          <w:rtl/>
        </w:rPr>
      </w:pPr>
      <w:r>
        <w:rPr>
          <w:rtl/>
        </w:rPr>
        <w:t xml:space="preserve">לפיכך התקין רבי אבהו בעירו קיסרי, שיהיו תוקעים בכל שלושת סוגי התרועה (ר"ה לד, א, רב האי גאון). ועוד טעם לתקנתו, שלכל סוג תרועה יש ייחוד וערך משלו, וראוי לקיים את כל סוגי התרועה (זוהר </w:t>
      </w:r>
      <w:proofErr w:type="spellStart"/>
      <w:r>
        <w:rPr>
          <w:rtl/>
        </w:rPr>
        <w:t>ח"ג</w:t>
      </w:r>
      <w:proofErr w:type="spellEnd"/>
      <w:r>
        <w:rPr>
          <w:rtl/>
        </w:rPr>
        <w:t xml:space="preserve"> </w:t>
      </w:r>
      <w:proofErr w:type="spellStart"/>
      <w:r>
        <w:rPr>
          <w:rtl/>
        </w:rPr>
        <w:t>רלא</w:t>
      </w:r>
      <w:proofErr w:type="spellEnd"/>
      <w:r>
        <w:rPr>
          <w:rtl/>
        </w:rPr>
        <w:t xml:space="preserve">, ב). ונתקבלה תקנתו בכל הקהילות, ומאז קראו לקולות הבינוניים שברים, ולקולות הקצרים תרועה. וכך הוא הסדר: בתחילה תוקעים שלוש פעמים </w:t>
      </w:r>
      <w:proofErr w:type="spellStart"/>
      <w:r>
        <w:rPr>
          <w:rtl/>
        </w:rPr>
        <w:t>תשר"ת</w:t>
      </w:r>
      <w:proofErr w:type="spellEnd"/>
      <w:r>
        <w:rPr>
          <w:rtl/>
        </w:rPr>
        <w:t xml:space="preserve"> (תקיעה שברים תרועה תקיעה). לאחר מכן שלוש פעמים </w:t>
      </w:r>
      <w:proofErr w:type="spellStart"/>
      <w:r>
        <w:rPr>
          <w:rtl/>
        </w:rPr>
        <w:t>תש"ת</w:t>
      </w:r>
      <w:proofErr w:type="spellEnd"/>
      <w:r>
        <w:rPr>
          <w:rtl/>
        </w:rPr>
        <w:t xml:space="preserve"> (תקיעה שברים תקיעה). ולבסוף שלוש פעמים </w:t>
      </w:r>
      <w:proofErr w:type="spellStart"/>
      <w:r>
        <w:rPr>
          <w:rtl/>
        </w:rPr>
        <w:t>תר"ת</w:t>
      </w:r>
      <w:proofErr w:type="spellEnd"/>
      <w:r>
        <w:rPr>
          <w:rtl/>
        </w:rPr>
        <w:t xml:space="preserve"> (תקיעה תרועה תקיעה. </w:t>
      </w:r>
      <w:proofErr w:type="spellStart"/>
      <w:r>
        <w:rPr>
          <w:rtl/>
        </w:rPr>
        <w:t>שו"ע</w:t>
      </w:r>
      <w:proofErr w:type="spellEnd"/>
      <w:r>
        <w:rPr>
          <w:rtl/>
        </w:rPr>
        <w:t xml:space="preserve"> </w:t>
      </w:r>
      <w:proofErr w:type="spellStart"/>
      <w:r>
        <w:rPr>
          <w:rtl/>
        </w:rPr>
        <w:t>תקצ</w:t>
      </w:r>
      <w:proofErr w:type="spellEnd"/>
      <w:r>
        <w:rPr>
          <w:rtl/>
        </w:rPr>
        <w:t>, ב).</w:t>
      </w:r>
    </w:p>
    <w:p w14:paraId="758746BC" w14:textId="77777777" w:rsidR="00AA7EBC" w:rsidRDefault="00AA7EBC" w:rsidP="00AA7EBC">
      <w:pPr>
        <w:jc w:val="both"/>
        <w:rPr>
          <w:rtl/>
        </w:rPr>
      </w:pPr>
      <w:r>
        <w:rPr>
          <w:rFonts w:hint="cs"/>
          <w:rtl/>
        </w:rPr>
        <w:t>7. מה תיקן רבי אבהו ומדוע?</w:t>
      </w:r>
    </w:p>
    <w:p w14:paraId="61B1A1FE" w14:textId="77777777" w:rsidR="00AA7EBC" w:rsidRPr="00CD526C" w:rsidRDefault="00AA7EBC" w:rsidP="00AA7EBC">
      <w:pPr>
        <w:jc w:val="both"/>
        <w:rPr>
          <w:u w:val="single"/>
          <w:rtl/>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3089402A" w14:textId="77777777" w:rsidR="00CB652C" w:rsidRPr="00AA7EBC" w:rsidRDefault="00CB652C" w:rsidP="00E9159E">
      <w:pPr>
        <w:jc w:val="both"/>
        <w:rPr>
          <w:sz w:val="10"/>
          <w:szCs w:val="16"/>
          <w:rtl/>
        </w:rPr>
      </w:pPr>
    </w:p>
    <w:p w14:paraId="4326CDE7" w14:textId="783005A1" w:rsidR="00CB652C" w:rsidRDefault="00CB652C" w:rsidP="00AA7EBC">
      <w:pPr>
        <w:spacing w:line="276" w:lineRule="auto"/>
        <w:jc w:val="both"/>
        <w:rPr>
          <w:rtl/>
        </w:rPr>
      </w:pPr>
      <w:r>
        <w:rPr>
          <w:rtl/>
        </w:rPr>
        <w:t>וכיוון שנתקבלה תקנתו של רבי אבהו, כבר אין אפשרות לצאת באחד מסוגי התרועות, אלא חובה להריע בשלושת סוגי התרועה. הרי שאף שמן התורה היינו חייבים לתקוע תשע תקיעות, כיום אנחנו חייבים לתקוע שלושים תקיעות. תשע פעמים לשברים, שהיא התרועה כדוגמת האנחה; תשע פעמים לתרועה שהיא כדוגמת הבכי; ושתים עשרה פעמים, לתרועה שיש בה גם קול של אנחה וגם קול של בכי.</w:t>
      </w:r>
    </w:p>
    <w:p w14:paraId="6554F9C8" w14:textId="07FF5716" w:rsidR="00CB652C" w:rsidRPr="00AA7EBC" w:rsidRDefault="00CB652C" w:rsidP="00E9159E">
      <w:pPr>
        <w:jc w:val="both"/>
        <w:rPr>
          <w:sz w:val="10"/>
          <w:szCs w:val="16"/>
          <w:rtl/>
        </w:rPr>
      </w:pPr>
    </w:p>
    <w:p w14:paraId="2440D3FC" w14:textId="6C19C80E" w:rsidR="00CD526C" w:rsidRDefault="00CD526C" w:rsidP="00E9159E">
      <w:pPr>
        <w:jc w:val="both"/>
        <w:rPr>
          <w:rtl/>
        </w:rPr>
      </w:pPr>
      <w:r>
        <w:rPr>
          <w:rFonts w:hint="cs"/>
          <w:rtl/>
        </w:rPr>
        <w:t>8. כמה קולות בימינו אנו צריכים לשמוע, בשביל לקיים את המצווה של תקיעת שופר, וכיצד תוקעים אותם?</w:t>
      </w:r>
    </w:p>
    <w:p w14:paraId="341CBAEC" w14:textId="716F8AEC" w:rsidR="00460E2C" w:rsidRPr="00460E2C" w:rsidRDefault="00460E2C" w:rsidP="00E9159E">
      <w:pPr>
        <w:jc w:val="both"/>
        <w:rPr>
          <w:u w:val="single"/>
        </w:rPr>
      </w:pP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sectPr w:rsidR="00460E2C" w:rsidRPr="00460E2C" w:rsidSect="00460E2C">
      <w:pgSz w:w="11906" w:h="16838"/>
      <w:pgMar w:top="284" w:right="567" w:bottom="284" w:left="426" w:header="709" w:footer="709" w:gutter="0"/>
      <w:cols w:space="708"/>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60"/>
  <w:drawingGridVerticalSpacing w:val="435"/>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6C"/>
    <w:rsid w:val="001B29EB"/>
    <w:rsid w:val="0031216C"/>
    <w:rsid w:val="003A61B4"/>
    <w:rsid w:val="00402C3F"/>
    <w:rsid w:val="00460E2C"/>
    <w:rsid w:val="00786308"/>
    <w:rsid w:val="008D49A8"/>
    <w:rsid w:val="009F79DD"/>
    <w:rsid w:val="00A313C5"/>
    <w:rsid w:val="00AA7EBC"/>
    <w:rsid w:val="00BA7FCD"/>
    <w:rsid w:val="00CA6C0D"/>
    <w:rsid w:val="00CB652C"/>
    <w:rsid w:val="00CD526C"/>
    <w:rsid w:val="00E73DCD"/>
    <w:rsid w:val="00E9159E"/>
    <w:rsid w:val="00F1539F"/>
    <w:rsid w:val="00F25097"/>
    <w:rsid w:val="00FE66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18BE"/>
  <w15:chartTrackingRefBased/>
  <w15:docId w15:val="{7003613A-92D2-44C8-B893-5E68F985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Cs w:val="28"/>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90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6DB24-A6A7-4D3F-AAE1-79A9C0A1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3426</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ראובן גורביץ</dc:creator>
  <cp:keywords/>
  <dc:description/>
  <cp:lastModifiedBy>1</cp:lastModifiedBy>
  <cp:revision>2</cp:revision>
  <dcterms:created xsi:type="dcterms:W3CDTF">2023-02-15T11:07:00Z</dcterms:created>
  <dcterms:modified xsi:type="dcterms:W3CDTF">2023-02-15T11:07:00Z</dcterms:modified>
</cp:coreProperties>
</file>